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F0D27B6">
      <w:pPr>
        <w:adjustRightInd w:val="0"/>
        <w:snapToGrid w:val="0"/>
        <w:jc w:val="center"/>
        <w:rPr>
          <w:rFonts w:ascii="楷体_GB2312" w:hAnsi="楷体_GB2312" w:eastAsia="楷体_GB2312" w:cs="楷体_GB2312"/>
          <w:sz w:val="28"/>
          <w:szCs w:val="24"/>
        </w:rPr>
      </w:pPr>
      <w:bookmarkStart w:id="0" w:name="_GoBack"/>
      <w:bookmarkEnd w:id="0"/>
      <w:r>
        <w:rPr>
          <w:rFonts w:hint="eastAsia"/>
          <w:b/>
          <w:sz w:val="36"/>
        </w:rPr>
        <w:t>江西财经大学“校级慕课”选课指南</w:t>
      </w:r>
    </w:p>
    <w:p w14:paraId="13D1277B">
      <w:pPr>
        <w:spacing w:before="156" w:beforeLines="50" w:line="480" w:lineRule="exact"/>
        <w:ind w:firstLine="560" w:firstLineChars="200"/>
        <w:rPr>
          <w:rFonts w:ascii="Times New Roman" w:hAnsi="Times New Roman" w:eastAsia="仿宋_GB2312" w:cs="Times New Roman"/>
          <w:sz w:val="28"/>
          <w:szCs w:val="24"/>
        </w:rPr>
      </w:pPr>
      <w:r>
        <w:rPr>
          <w:rFonts w:ascii="Times New Roman" w:hAnsi="Times New Roman" w:eastAsia="仿宋_GB2312" w:cs="Times New Roman"/>
          <w:sz w:val="28"/>
          <w:szCs w:val="24"/>
        </w:rPr>
        <w:t>为充分利用我校精品在线开放课程（MOOC）（以下简称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为“</w:t>
      </w:r>
      <w:r>
        <w:rPr>
          <w:rFonts w:ascii="Times New Roman" w:hAnsi="Times New Roman" w:eastAsia="仿宋_GB2312" w:cs="Times New Roman"/>
          <w:sz w:val="28"/>
          <w:szCs w:val="24"/>
        </w:rPr>
        <w:t>校级慕课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”</w:t>
      </w:r>
      <w:r>
        <w:rPr>
          <w:rFonts w:ascii="Times New Roman" w:hAnsi="Times New Roman" w:eastAsia="仿宋_GB2312" w:cs="Times New Roman"/>
          <w:sz w:val="28"/>
          <w:szCs w:val="24"/>
        </w:rPr>
        <w:t>）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资源，</w:t>
      </w:r>
      <w:r>
        <w:rPr>
          <w:rFonts w:ascii="Times New Roman" w:hAnsi="Times New Roman" w:eastAsia="仿宋_GB2312" w:cs="Times New Roman"/>
          <w:sz w:val="28"/>
          <w:szCs w:val="24"/>
        </w:rPr>
        <w:t>培养学生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运用</w:t>
      </w:r>
      <w:r>
        <w:rPr>
          <w:rFonts w:ascii="Times New Roman" w:hAnsi="Times New Roman" w:eastAsia="仿宋_GB2312" w:cs="Times New Roman"/>
          <w:sz w:val="28"/>
          <w:szCs w:val="24"/>
        </w:rPr>
        <w:t>网络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教学</w:t>
      </w:r>
      <w:r>
        <w:rPr>
          <w:rFonts w:ascii="Times New Roman" w:hAnsi="Times New Roman" w:eastAsia="仿宋_GB2312" w:cs="Times New Roman"/>
          <w:sz w:val="28"/>
          <w:szCs w:val="24"/>
        </w:rPr>
        <w:t>资源自主学习能力，学校推</w:t>
      </w:r>
      <w:r>
        <w:rPr>
          <w:rFonts w:ascii="Times New Roman" w:hAnsi="Times New Roman" w:eastAsia="仿宋_GB2312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出校级</w:t>
      </w:r>
      <w:r>
        <w:rPr>
          <w:rFonts w:ascii="Times New Roman" w:hAnsi="Times New Roman" w:eastAsia="仿宋_GB2312" w:cs="Times New Roman"/>
          <w:sz w:val="28"/>
          <w:szCs w:val="24"/>
        </w:rPr>
        <w:t>慕课供同学们学习。经研究决定，现将有关事项通知如下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：</w:t>
      </w:r>
    </w:p>
    <w:p w14:paraId="507A61D4">
      <w:pPr>
        <w:pStyle w:val="5"/>
        <w:numPr>
          <w:ilvl w:val="0"/>
          <w:numId w:val="1"/>
        </w:numPr>
        <w:spacing w:before="120" w:line="480" w:lineRule="exact"/>
        <w:ind w:firstLineChars="0"/>
        <w:rPr>
          <w:rFonts w:ascii="仿宋_GB2312" w:hAnsi="黑体" w:eastAsia="仿宋_GB2312" w:cs="Times New Roman"/>
          <w:b/>
          <w:sz w:val="28"/>
          <w:szCs w:val="24"/>
        </w:rPr>
      </w:pPr>
      <w:r>
        <w:rPr>
          <w:rFonts w:hint="eastAsia" w:ascii="仿宋_GB2312" w:hAnsi="黑体" w:eastAsia="仿宋_GB2312" w:cs="Times New Roman"/>
          <w:b/>
          <w:sz w:val="28"/>
          <w:szCs w:val="24"/>
        </w:rPr>
        <w:t>成绩与学分认定</w:t>
      </w:r>
    </w:p>
    <w:p w14:paraId="3DADAE63">
      <w:pPr>
        <w:pStyle w:val="5"/>
        <w:numPr>
          <w:ilvl w:val="0"/>
          <w:numId w:val="2"/>
        </w:numPr>
        <w:spacing w:before="120" w:line="480" w:lineRule="exact"/>
        <w:ind w:firstLine="560" w:firstLineChars="200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sz w:val="28"/>
          <w:szCs w:val="24"/>
        </w:rPr>
        <w:t>慕课学分认定基本原则。学校对慕课学分认定进行统一管理。学生通过慕课学习所获学分，在一定学分数量限度内计入人才培养方案学分。该类课程不允许补考。</w:t>
      </w:r>
    </w:p>
    <w:p w14:paraId="1BFEAEDB">
      <w:pPr>
        <w:pStyle w:val="5"/>
        <w:numPr>
          <w:ilvl w:val="0"/>
          <w:numId w:val="2"/>
        </w:numPr>
        <w:spacing w:before="120" w:line="480" w:lineRule="exact"/>
        <w:ind w:firstLine="560" w:firstLineChars="200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sz w:val="28"/>
          <w:szCs w:val="24"/>
        </w:rPr>
        <w:t>慕课成绩认定。校级慕课只能冲抵校内对应课程的学分，按照《江西财经大学本科课程认定及学分转换管理办法（试行）》执行。</w:t>
      </w:r>
    </w:p>
    <w:p w14:paraId="79D5902E">
      <w:pPr>
        <w:pStyle w:val="5"/>
        <w:numPr>
          <w:ilvl w:val="0"/>
          <w:numId w:val="2"/>
        </w:numPr>
        <w:spacing w:before="120" w:line="480" w:lineRule="exact"/>
        <w:ind w:firstLine="560" w:firstLineChars="200"/>
        <w:rPr>
          <w:rFonts w:hint="eastAsia" w:ascii="Times New Roman" w:hAnsi="Times New Roman" w:eastAsia="仿宋_GB2312" w:cs="Times New Roman"/>
          <w:sz w:val="28"/>
          <w:szCs w:val="24"/>
        </w:rPr>
      </w:pPr>
      <w:r>
        <w:rPr>
          <w:rFonts w:hint="eastAsia" w:ascii="仿宋_GB2312" w:hAnsi="黑体" w:eastAsia="仿宋_GB2312" w:cs="Times New Roman"/>
          <w:sz w:val="28"/>
          <w:szCs w:val="24"/>
        </w:rPr>
        <w:t>学习结束后，由课程组团队核对有效选课学生的最终成绩，并根据选修课程的成绩过程计算最终成绩，并上传至学校教务管理系统（教务平台）中。成绩合格者将记相应学分。该类课程不提供补考。</w:t>
      </w:r>
    </w:p>
    <w:p w14:paraId="24F47378">
      <w:pPr>
        <w:spacing w:before="120" w:line="480" w:lineRule="exact"/>
        <w:ind w:firstLine="562" w:firstLineChars="200"/>
        <w:rPr>
          <w:rFonts w:ascii="Times New Roman" w:hAnsi="Times New Roman" w:eastAsia="仿宋_GB2312" w:cs="Times New Roman"/>
          <w:b/>
          <w:bCs/>
          <w:sz w:val="28"/>
          <w:szCs w:val="24"/>
        </w:rPr>
      </w:pPr>
      <w:r>
        <w:rPr>
          <w:rFonts w:hint="eastAsia" w:ascii="Times New Roman" w:hAnsi="Times New Roman" w:eastAsia="仿宋_GB2312" w:cs="Times New Roman"/>
          <w:b/>
          <w:bCs/>
          <w:sz w:val="28"/>
          <w:szCs w:val="24"/>
        </w:rPr>
        <w:t>二、学习及考核方式</w:t>
      </w:r>
    </w:p>
    <w:p w14:paraId="620AE5F7">
      <w:pPr>
        <w:spacing w:line="480" w:lineRule="exact"/>
        <w:ind w:firstLine="560" w:firstLineChars="200"/>
        <w:rPr>
          <w:rFonts w:ascii="仿宋_GB2312" w:hAnsi="黑体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sz w:val="28"/>
          <w:szCs w:val="24"/>
        </w:rPr>
        <w:t>校级慕课采用“纯线上学习”或“线上学习+线下见面课”方式授课。若课程性质为必修课，则应采用“线上学习+线下见面课”方式；</w:t>
      </w:r>
      <w:r>
        <w:rPr>
          <w:rFonts w:hint="eastAsia" w:ascii="仿宋_GB2312" w:hAnsi="黑体" w:eastAsia="仿宋_GB2312" w:cs="Times New Roman"/>
          <w:sz w:val="28"/>
          <w:szCs w:val="24"/>
        </w:rPr>
        <w:t>若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课程性质为</w:t>
      </w:r>
      <w:r>
        <w:rPr>
          <w:rFonts w:hint="eastAsia" w:ascii="仿宋_GB2312" w:hAnsi="黑体" w:eastAsia="仿宋_GB2312" w:cs="Times New Roman"/>
          <w:sz w:val="28"/>
          <w:szCs w:val="24"/>
        </w:rPr>
        <w:t>选修课，考核方式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由慕课</w:t>
      </w:r>
      <w:r>
        <w:rPr>
          <w:rFonts w:hint="eastAsia" w:ascii="仿宋_GB2312" w:hAnsi="黑体" w:eastAsia="仿宋_GB2312" w:cs="Times New Roman"/>
          <w:sz w:val="28"/>
          <w:szCs w:val="24"/>
        </w:rPr>
        <w:t>团队自行决定。</w:t>
      </w:r>
    </w:p>
    <w:p w14:paraId="2CD62F69">
      <w:pPr>
        <w:spacing w:line="480" w:lineRule="exact"/>
        <w:ind w:firstLine="560" w:firstLineChars="200"/>
        <w:rPr>
          <w:rFonts w:ascii="仿宋_GB2312" w:hAnsi="黑体" w:eastAsia="仿宋_GB2312" w:cs="Times New Roman"/>
          <w:sz w:val="28"/>
          <w:szCs w:val="24"/>
        </w:rPr>
      </w:pPr>
      <w:r>
        <w:rPr>
          <w:rFonts w:hint="eastAsia" w:ascii="仿宋_GB2312" w:hAnsi="黑体" w:eastAsia="仿宋_GB2312" w:cs="Times New Roman"/>
          <w:sz w:val="28"/>
          <w:szCs w:val="24"/>
        </w:rPr>
        <w:t>考核方式采取“纯线上考核”、“线上+线下相结合考核”两种。</w:t>
      </w:r>
    </w:p>
    <w:p w14:paraId="225D8CCD">
      <w:pPr>
        <w:spacing w:line="480" w:lineRule="exact"/>
        <w:rPr>
          <w:rFonts w:ascii="仿宋_GB2312" w:hAnsi="黑体" w:eastAsia="仿宋_GB2312" w:cs="Times New Roman"/>
          <w:sz w:val="28"/>
          <w:szCs w:val="24"/>
        </w:rPr>
      </w:pPr>
      <w:r>
        <w:rPr>
          <w:rFonts w:hint="eastAsia" w:ascii="Times New Roman" w:hAnsi="Times New Roman" w:eastAsia="仿宋_GB2312" w:cs="Times New Roman"/>
          <w:sz w:val="28"/>
          <w:szCs w:val="24"/>
        </w:rPr>
        <w:t>若课程性质为必修课，要求采用</w:t>
      </w:r>
      <w:r>
        <w:rPr>
          <w:rFonts w:hint="eastAsia" w:ascii="仿宋_GB2312" w:hAnsi="黑体" w:eastAsia="仿宋_GB2312" w:cs="Times New Roman"/>
          <w:sz w:val="28"/>
          <w:szCs w:val="24"/>
        </w:rPr>
        <w:t>“线上+线下相结合”方式考核；若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课程性质为</w:t>
      </w:r>
      <w:r>
        <w:rPr>
          <w:rFonts w:hint="eastAsia" w:ascii="仿宋_GB2312" w:hAnsi="黑体" w:eastAsia="仿宋_GB2312" w:cs="Times New Roman"/>
          <w:sz w:val="28"/>
          <w:szCs w:val="24"/>
        </w:rPr>
        <w:t>选修课，考核方式</w:t>
      </w:r>
      <w:r>
        <w:rPr>
          <w:rFonts w:hint="eastAsia" w:ascii="Times New Roman" w:hAnsi="Times New Roman" w:eastAsia="仿宋_GB2312" w:cs="Times New Roman"/>
          <w:sz w:val="28"/>
          <w:szCs w:val="24"/>
        </w:rPr>
        <w:t>由慕课</w:t>
      </w:r>
      <w:r>
        <w:rPr>
          <w:rFonts w:hint="eastAsia" w:ascii="仿宋_GB2312" w:hAnsi="黑体" w:eastAsia="仿宋_GB2312" w:cs="Times New Roman"/>
          <w:sz w:val="28"/>
          <w:szCs w:val="24"/>
        </w:rPr>
        <w:t>团队决定。</w:t>
      </w:r>
    </w:p>
    <w:p w14:paraId="69FB0569">
      <w:pPr>
        <w:spacing w:before="120" w:line="480" w:lineRule="exact"/>
        <w:ind w:firstLine="562" w:firstLineChars="200"/>
        <w:rPr>
          <w:rFonts w:ascii="Times New Roman" w:hAnsi="Times New Roman" w:eastAsia="仿宋_GB2312" w:cs="Times New Roman"/>
          <w:b/>
          <w:bCs/>
          <w:sz w:val="28"/>
          <w:szCs w:val="24"/>
        </w:rPr>
      </w:pPr>
      <w:r>
        <w:rPr>
          <w:rFonts w:hint="eastAsia" w:ascii="Times New Roman" w:hAnsi="Times New Roman" w:eastAsia="仿宋_GB2312" w:cs="Times New Roman"/>
          <w:b/>
          <w:bCs/>
          <w:sz w:val="28"/>
          <w:szCs w:val="24"/>
        </w:rPr>
        <w:t>三、平台注册及选课</w:t>
      </w:r>
    </w:p>
    <w:p w14:paraId="69377AD8">
      <w:pPr>
        <w:spacing w:line="480" w:lineRule="exact"/>
        <w:ind w:firstLine="560" w:firstLineChars="200"/>
        <w:rPr>
          <w:rFonts w:ascii="Times New Roman" w:hAnsi="Times New Roman" w:eastAsia="仿宋_GB2312" w:cs="Times New Roman"/>
          <w:sz w:val="28"/>
          <w:szCs w:val="24"/>
        </w:rPr>
      </w:pPr>
      <w:r>
        <w:rPr>
          <w:rFonts w:ascii="Times New Roman" w:hAnsi="Times New Roman" w:eastAsia="仿宋_GB2312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 xml:space="preserve">1. </w:t>
      </w:r>
      <w:r>
        <w:rPr>
          <w:rFonts w:hint="eastAsia" w:ascii="Times New Roman" w:hAnsi="Times New Roman" w:eastAsia="仿宋_GB2312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教务</w:t>
      </w:r>
      <w:r>
        <w:rPr>
          <w:rFonts w:ascii="Times New Roman" w:hAnsi="Times New Roman" w:eastAsia="仿宋_GB2312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平台选课。所有学生修读校级慕课均须于</w:t>
      </w:r>
      <w:r>
        <w:rPr>
          <w:rFonts w:hint="eastAsia" w:ascii="Times New Roman" w:hAnsi="Times New Roman" w:eastAsia="仿宋_GB2312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选课及退改选期间</w:t>
      </w:r>
      <w:r>
        <w:rPr>
          <w:rFonts w:ascii="Times New Roman" w:hAnsi="Times New Roman" w:eastAsia="仿宋_GB2312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在</w:t>
      </w:r>
      <w:r>
        <w:rPr>
          <w:rFonts w:hint="eastAsia" w:ascii="Times New Roman" w:hAnsi="Times New Roman" w:eastAsia="仿宋_GB2312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教务</w:t>
      </w:r>
      <w:r>
        <w:rPr>
          <w:rFonts w:ascii="Times New Roman" w:hAnsi="Times New Roman" w:eastAsia="仿宋_GB2312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平台选课，成功后方可获得相应学分。</w:t>
      </w:r>
      <w:r>
        <w:rPr>
          <w:rFonts w:ascii="Times New Roman" w:hAnsi="Times New Roman" w:eastAsia="仿宋_GB2312" w:cs="Times New Roman"/>
          <w:sz w:val="28"/>
          <w:szCs w:val="24"/>
        </w:rPr>
        <w:t>一旦选定课程，务必要按照</w:t>
      </w:r>
      <w:r>
        <w:rPr>
          <w:rFonts w:hint="eastAsia" w:ascii="Times New Roman" w:hAnsi="Times New Roman" w:eastAsia="仿宋_GB2312" w:cs="Times New Roman"/>
          <w:sz w:val="28"/>
          <w:szCs w:val="24"/>
          <w:lang w:eastAsia="zh-CN"/>
        </w:rPr>
        <w:t>课程组要求在相应的网络学习平台</w:t>
      </w:r>
      <w:r>
        <w:rPr>
          <w:rFonts w:ascii="Times New Roman" w:hAnsi="Times New Roman" w:eastAsia="仿宋_GB2312" w:cs="Times New Roman"/>
          <w:sz w:val="28"/>
          <w:szCs w:val="24"/>
        </w:rPr>
        <w:t>完成学习。</w:t>
      </w:r>
    </w:p>
    <w:p w14:paraId="15D57657">
      <w:pPr>
        <w:spacing w:line="480" w:lineRule="exact"/>
        <w:ind w:firstLine="560" w:firstLineChars="200"/>
        <w:jc w:val="left"/>
        <w:rPr>
          <w:rFonts w:ascii="Times New Roman" w:hAnsi="Times New Roman" w:eastAsia="仿宋_GB2312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2. 中国大学MOOC平台注册。学生</w:t>
      </w:r>
      <w:r>
        <w:rPr>
          <w:rFonts w:hint="eastAsia" w:ascii="Times New Roman" w:hAnsi="Times New Roman" w:eastAsia="仿宋_GB2312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可</w:t>
      </w:r>
      <w:r>
        <w:rPr>
          <w:rFonts w:ascii="Times New Roman" w:hAnsi="Times New Roman" w:eastAsia="仿宋_GB2312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在中国大学MOOC平台（http://</w:t>
      </w:r>
      <w:r>
        <w:fldChar w:fldCharType="begin"/>
      </w:r>
      <w:r>
        <w:instrText xml:space="preserve"> HYPERLINK "http://www.icourses.cn" </w:instrText>
      </w:r>
      <w:r>
        <w:fldChar w:fldCharType="separate"/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www.icourses.cn</w:t>
      </w:r>
      <w:r>
        <w:rPr>
          <w:rFonts w:ascii="Times New Roman" w:hAnsi="Times New Roman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fldChar w:fldCharType="end"/>
      </w:r>
      <w:r>
        <w:rPr>
          <w:rFonts w:ascii="Times New Roman" w:hAnsi="Times New Roman" w:eastAsia="仿宋_GB2312" w:cs="Times New Roman"/>
          <w:color w:val="000000" w:themeColor="text1"/>
          <w:sz w:val="28"/>
          <w:szCs w:val="28"/>
          <w14:textFill>
            <w14:solidFill>
              <w14:schemeClr w14:val="tx1"/>
            </w14:solidFill>
          </w14:textFill>
        </w:rPr>
        <w:t>/school/jxufe</w:t>
      </w:r>
      <w:r>
        <w:rPr>
          <w:rFonts w:ascii="Times New Roman" w:hAnsi="Times New Roman" w:eastAsia="仿宋_GB2312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）以个人的任一邮箱注册账号（</w:t>
      </w:r>
      <w:r>
        <w:rPr>
          <w:rFonts w:hint="eastAsia" w:ascii="Times New Roman" w:hAnsi="Times New Roman" w:eastAsia="仿宋_GB2312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基于平台公司的原因</w:t>
      </w:r>
      <w:r>
        <w:rPr>
          <w:rFonts w:ascii="Times New Roman" w:hAnsi="Times New Roman" w:eastAsia="仿宋_GB2312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请避免使用163邮箱），具体操作流程见中国大学MOOC平台学生注册操作手册（附件）。注册时请认真填写学校名称、学号、真实姓名</w:t>
      </w:r>
      <w:r>
        <w:rPr>
          <w:rFonts w:hint="eastAsia" w:ascii="Times New Roman" w:hAnsi="Times New Roman" w:eastAsia="仿宋_GB2312" w:cs="Times New Roman"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并加入相应课程的慕课堂</w:t>
      </w:r>
      <w:r>
        <w:rPr>
          <w:rFonts w:ascii="Times New Roman" w:hAnsi="Times New Roman" w:eastAsia="仿宋_GB2312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。如信息填写不完整</w:t>
      </w:r>
      <w:r>
        <w:rPr>
          <w:rFonts w:hint="eastAsia" w:ascii="Times New Roman" w:hAnsi="Times New Roman" w:eastAsia="仿宋_GB2312" w:cs="Times New Roman"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、</w:t>
      </w:r>
      <w:r>
        <w:rPr>
          <w:rFonts w:ascii="Times New Roman" w:hAnsi="Times New Roman" w:eastAsia="仿宋_GB2312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错误</w:t>
      </w:r>
      <w:r>
        <w:rPr>
          <w:rFonts w:hint="eastAsia" w:ascii="Times New Roman" w:hAnsi="Times New Roman" w:eastAsia="仿宋_GB2312" w:cs="Times New Roman"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或未加入慕课堂</w:t>
      </w:r>
      <w:r>
        <w:rPr>
          <w:rFonts w:ascii="Times New Roman" w:hAnsi="Times New Roman" w:eastAsia="仿宋_GB2312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将</w:t>
      </w:r>
      <w:r>
        <w:rPr>
          <w:rFonts w:hint="eastAsia" w:ascii="Times New Roman" w:hAnsi="Times New Roman" w:eastAsia="仿宋_GB2312" w:cs="Times New Roman"/>
          <w:color w:val="000000" w:themeColor="text1"/>
          <w:sz w:val="28"/>
          <w:szCs w:val="24"/>
          <w:lang w:eastAsia="zh-CN"/>
          <w14:textFill>
            <w14:solidFill>
              <w14:schemeClr w14:val="tx1"/>
            </w14:solidFill>
          </w14:textFill>
        </w:rPr>
        <w:t>无法</w:t>
      </w:r>
      <w:r>
        <w:rPr>
          <w:rFonts w:ascii="Times New Roman" w:hAnsi="Times New Roman" w:eastAsia="仿宋_GB2312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认定学分。</w:t>
      </w:r>
      <w:r>
        <w:rPr>
          <w:rFonts w:hint="eastAsia" w:ascii="Times New Roman" w:hAnsi="Times New Roman" w:eastAsia="仿宋_GB2312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课程开课后</w:t>
      </w:r>
      <w:r>
        <w:rPr>
          <w:rFonts w:ascii="Times New Roman" w:hAnsi="Times New Roman" w:eastAsia="仿宋_GB2312" w:cs="Times New Roman"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即可开始课程学习。</w:t>
      </w:r>
    </w:p>
    <w:p w14:paraId="0DFF7D51">
      <w:pPr>
        <w:spacing w:line="480" w:lineRule="exact"/>
        <w:ind w:firstLine="562" w:firstLineChars="200"/>
        <w:rPr>
          <w:rFonts w:ascii="Times New Roman" w:hAnsi="Times New Roman" w:eastAsia="仿宋_GB2312" w:cs="Times New Roman"/>
          <w:b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</w:pPr>
      <w:r>
        <w:rPr>
          <w:rFonts w:ascii="Times New Roman" w:hAnsi="Times New Roman" w:eastAsia="仿宋_GB2312" w:cs="Times New Roman"/>
          <w:b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注意：本学期已选修相关课程的同学不</w:t>
      </w: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可再</w:t>
      </w:r>
      <w:r>
        <w:rPr>
          <w:rFonts w:ascii="Times New Roman" w:hAnsi="Times New Roman" w:eastAsia="仿宋_GB2312" w:cs="Times New Roman"/>
          <w:b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选修校级慕课</w:t>
      </w: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，以免线下考试安排冲突；中国大学MOOC平台加入课程时注意开课时间，不要错选</w:t>
      </w: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28"/>
          <w:szCs w:val="24"/>
          <w:lang w:val="en-US" w:eastAsia="zh-CN"/>
          <w14:textFill>
            <w14:solidFill>
              <w14:schemeClr w14:val="tx1"/>
            </w14:solidFill>
          </w14:textFill>
        </w:rPr>
        <w:t>其他</w:t>
      </w:r>
      <w:r>
        <w:rPr>
          <w:rFonts w:hint="eastAsia" w:ascii="Times New Roman" w:hAnsi="Times New Roman" w:eastAsia="仿宋_GB2312" w:cs="Times New Roman"/>
          <w:b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学期还未结束的课程</w:t>
      </w:r>
      <w:r>
        <w:rPr>
          <w:rFonts w:ascii="Times New Roman" w:hAnsi="Times New Roman" w:eastAsia="仿宋_GB2312" w:cs="Times New Roman"/>
          <w:b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  <w:t>。</w:t>
      </w:r>
    </w:p>
    <w:p w14:paraId="023663D0">
      <w:pPr>
        <w:spacing w:line="480" w:lineRule="exact"/>
        <w:ind w:firstLine="562" w:firstLineChars="200"/>
        <w:rPr>
          <w:rFonts w:ascii="Times New Roman" w:hAnsi="Times New Roman" w:eastAsia="仿宋_GB2312" w:cs="Times New Roman"/>
          <w:b/>
          <w:bCs/>
          <w:color w:val="000000" w:themeColor="text1"/>
          <w:sz w:val="28"/>
          <w:szCs w:val="24"/>
          <w14:textFill>
            <w14:solidFill>
              <w14:schemeClr w14:val="tx1"/>
            </w14:solidFill>
          </w14:textFill>
        </w:rPr>
      </w:pPr>
    </w:p>
    <w:p w14:paraId="0533BB64">
      <w:pPr>
        <w:spacing w:line="480" w:lineRule="exact"/>
        <w:rPr>
          <w:rFonts w:ascii="仿宋_GB2312" w:hAnsi="黑体" w:eastAsia="仿宋_GB2312" w:cs="Times New Roman"/>
          <w:sz w:val="28"/>
          <w:szCs w:val="24"/>
        </w:rPr>
      </w:pPr>
      <w:r>
        <w:rPr>
          <w:rFonts w:hint="eastAsia" w:ascii="仿宋_GB2312" w:hAnsi="黑体" w:eastAsia="仿宋_GB2312" w:cs="Times New Roman"/>
          <w:sz w:val="28"/>
          <w:szCs w:val="24"/>
        </w:rPr>
        <w:t>附件：中国大学MOOC平台学生注册操作手册</w:t>
      </w:r>
    </w:p>
    <w:p w14:paraId="1011A05A">
      <w:pPr>
        <w:pStyle w:val="2"/>
        <w:shd w:val="clear" w:color="auto" w:fill="FFFFFF"/>
        <w:spacing w:before="0" w:beforeAutospacing="0" w:after="0" w:afterAutospacing="0" w:line="450" w:lineRule="atLeast"/>
        <w:rPr>
          <w:rFonts w:ascii="仿宋_GB2312" w:hAnsi="黑体" w:eastAsia="仿宋_GB2312" w:cs="Times New Roman"/>
          <w:kern w:val="2"/>
          <w:sz w:val="28"/>
        </w:rPr>
      </w:pPr>
      <w:r>
        <w:rPr>
          <w:rFonts w:hint="eastAsia" w:ascii="仿宋_GB2312" w:hAnsi="黑体" w:eastAsia="仿宋_GB2312" w:cs="Times New Roman"/>
          <w:kern w:val="2"/>
          <w:sz w:val="28"/>
        </w:rPr>
        <w:br w:type="page"/>
      </w:r>
      <w:r>
        <w:rPr>
          <w:rFonts w:hint="eastAsia" w:ascii="仿宋_GB2312" w:hAnsi="黑体" w:eastAsia="仿宋_GB2312" w:cs="Times New Roman"/>
          <w:sz w:val="28"/>
        </w:rPr>
        <w:t>附件：</w:t>
      </w:r>
    </w:p>
    <w:p w14:paraId="0C36C122">
      <w:pPr>
        <w:jc w:val="center"/>
        <w:rPr>
          <w:rFonts w:cs="Times New Roman" w:asciiTheme="majorEastAsia" w:hAnsiTheme="majorEastAsia" w:eastAsiaTheme="majorEastAsia"/>
          <w:b/>
          <w:sz w:val="36"/>
          <w:szCs w:val="36"/>
        </w:rPr>
      </w:pPr>
      <w:r>
        <w:rPr>
          <w:rFonts w:hint="eastAsia" w:asciiTheme="majorEastAsia" w:hAnsiTheme="majorEastAsia" w:eastAsiaTheme="majorEastAsia"/>
          <w:b/>
          <w:sz w:val="36"/>
          <w:szCs w:val="36"/>
        </w:rPr>
        <w:t>中国大学MOOC</w:t>
      </w:r>
      <w:r>
        <w:rPr>
          <w:rFonts w:hint="eastAsia" w:cs="Times New Roman" w:asciiTheme="majorEastAsia" w:hAnsiTheme="majorEastAsia" w:eastAsiaTheme="majorEastAsia"/>
          <w:b/>
          <w:sz w:val="36"/>
          <w:szCs w:val="36"/>
        </w:rPr>
        <w:t>平台学生注册操作手册</w:t>
      </w:r>
    </w:p>
    <w:p w14:paraId="2ADB9795">
      <w:pPr>
        <w:rPr>
          <w:rFonts w:ascii="仿宋_GB2312" w:hAnsi="黑体" w:eastAsia="仿宋_GB2312" w:cs="Times New Roman"/>
          <w:sz w:val="28"/>
          <w:szCs w:val="24"/>
        </w:rPr>
      </w:pPr>
      <w:r>
        <w:rPr>
          <w:rFonts w:ascii="仿宋_GB2312" w:hAnsi="黑体" w:eastAsia="仿宋_GB2312" w:cs="Times New Roman"/>
          <w:sz w:val="28"/>
          <w:szCs w:val="24"/>
        </w:rPr>
        <w:drawing>
          <wp:inline distT="0" distB="0" distL="0" distR="0">
            <wp:extent cx="5274310" cy="1472565"/>
            <wp:effectExtent l="0" t="0" r="2540" b="13335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4730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4E152F3">
      <w:pPr>
        <w:rPr>
          <w:rFonts w:ascii="仿宋_GB2312" w:hAnsi="黑体" w:eastAsia="仿宋_GB2312" w:cs="Times New Roman"/>
          <w:b/>
          <w:bCs/>
          <w:sz w:val="28"/>
          <w:szCs w:val="24"/>
        </w:rPr>
      </w:pPr>
      <w:r>
        <w:rPr>
          <w:rFonts w:hint="eastAsia" w:ascii="仿宋_GB2312" w:hAnsi="黑体" w:eastAsia="仿宋_GB2312" w:cs="Times New Roman"/>
          <w:b/>
          <w:bCs/>
          <w:sz w:val="28"/>
          <w:szCs w:val="24"/>
        </w:rPr>
        <w:t>一、</w:t>
      </w:r>
      <w:r>
        <w:rPr>
          <w:rFonts w:ascii="仿宋_GB2312" w:hAnsi="黑体" w:eastAsia="仿宋_GB2312" w:cs="Times New Roman"/>
          <w:b/>
          <w:bCs/>
          <w:sz w:val="28"/>
          <w:szCs w:val="24"/>
        </w:rPr>
        <w:t>注册与身份认证</w:t>
      </w:r>
    </w:p>
    <w:p w14:paraId="322205A9">
      <w:pPr>
        <w:ind w:firstLine="560" w:firstLineChars="200"/>
        <w:rPr>
          <w:rFonts w:ascii="仿宋_GB2312" w:hAnsi="黑体" w:eastAsia="仿宋_GB2312" w:cs="Times New Roman"/>
          <w:sz w:val="28"/>
          <w:szCs w:val="24"/>
        </w:rPr>
      </w:pPr>
      <w:r>
        <w:rPr>
          <w:rFonts w:ascii="仿宋_GB2312" w:hAnsi="黑体" w:eastAsia="仿宋_GB2312" w:cs="Times New Roman"/>
          <w:sz w:val="28"/>
        </w:rPr>
        <w:t>注册账号后，登录本校课程中心（网址为：</w:t>
      </w:r>
      <w:r>
        <w:fldChar w:fldCharType="begin"/>
      </w:r>
      <w:r>
        <w:instrText xml:space="preserve"> HYPERLINK "http://www.icourses.cn/school/jxufe/" </w:instrText>
      </w:r>
      <w:r>
        <w:fldChar w:fldCharType="separate"/>
      </w:r>
      <w:r>
        <w:rPr>
          <w:rFonts w:ascii="仿宋_GB2312" w:hAnsi="黑体" w:eastAsia="仿宋_GB2312" w:cs="Times New Roman"/>
          <w:sz w:val="28"/>
          <w:szCs w:val="24"/>
        </w:rPr>
        <w:t>http://www.icourses.cn/school/jxufe/</w:t>
      </w:r>
      <w:r>
        <w:rPr>
          <w:rFonts w:ascii="仿宋_GB2312" w:hAnsi="黑体" w:eastAsia="仿宋_GB2312" w:cs="Times New Roman"/>
          <w:sz w:val="28"/>
          <w:szCs w:val="24"/>
        </w:rPr>
        <w:fldChar w:fldCharType="end"/>
      </w:r>
      <w:r>
        <w:rPr>
          <w:rFonts w:ascii="仿宋_GB2312" w:hAnsi="黑体" w:eastAsia="仿宋_GB2312" w:cs="Times New Roman"/>
          <w:sz w:val="28"/>
        </w:rPr>
        <w:t>），点击“</w:t>
      </w:r>
      <w:r>
        <w:rPr>
          <w:rFonts w:hint="eastAsia" w:ascii="仿宋_GB2312" w:hAnsi="黑体" w:eastAsia="仿宋_GB2312" w:cs="Times New Roman"/>
          <w:sz w:val="28"/>
        </w:rPr>
        <w:t>学生入口</w:t>
      </w:r>
      <w:r>
        <w:rPr>
          <w:rFonts w:ascii="仿宋_GB2312" w:hAnsi="黑体" w:eastAsia="仿宋_GB2312" w:cs="Times New Roman"/>
          <w:sz w:val="28"/>
        </w:rPr>
        <w:t>” 进行身份认证</w:t>
      </w:r>
      <w:r>
        <w:rPr>
          <w:rFonts w:hint="eastAsia" w:ascii="仿宋_GB2312" w:hAnsi="黑体" w:eastAsia="仿宋_GB2312" w:cs="Times New Roman"/>
          <w:sz w:val="28"/>
        </w:rPr>
        <w:t>。</w:t>
      </w:r>
    </w:p>
    <w:p w14:paraId="46CF9C7B">
      <w:pPr>
        <w:jc w:val="center"/>
        <w:rPr>
          <w:rFonts w:ascii="仿宋_GB2312" w:hAnsi="黑体" w:eastAsia="仿宋_GB2312" w:cs="Times New Roman"/>
          <w:sz w:val="28"/>
          <w:szCs w:val="24"/>
        </w:rPr>
      </w:pPr>
      <w:r>
        <w:rPr>
          <w:rFonts w:ascii="仿宋_GB2312" w:hAnsi="黑体" w:eastAsia="仿宋_GB2312" w:cs="Times New Roman"/>
          <w:sz w:val="28"/>
          <w:szCs w:val="24"/>
        </w:rPr>
        <w:drawing>
          <wp:inline distT="0" distB="0" distL="0" distR="0">
            <wp:extent cx="3721100" cy="2159635"/>
            <wp:effectExtent l="0" t="0" r="12700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3721317" cy="216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仿宋_GB2312" w:hAnsi="黑体" w:eastAsia="仿宋_GB2312" w:cs="Times New Roman"/>
          <w:sz w:val="28"/>
          <w:szCs w:val="24"/>
        </w:rPr>
        <w:drawing>
          <wp:inline distT="0" distB="0" distL="0" distR="0">
            <wp:extent cx="3705225" cy="2150110"/>
            <wp:effectExtent l="0" t="0" r="9525" b="254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3732752" cy="21666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8D928E8">
      <w:pPr>
        <w:ind w:firstLine="560" w:firstLineChars="200"/>
        <w:rPr>
          <w:rFonts w:ascii="仿宋_GB2312" w:hAnsi="黑体" w:eastAsia="仿宋_GB2312" w:cs="Times New Roman"/>
          <w:sz w:val="28"/>
          <w:szCs w:val="24"/>
        </w:rPr>
      </w:pPr>
      <w:r>
        <w:rPr>
          <w:rFonts w:hint="eastAsia" w:ascii="仿宋_GB2312" w:hAnsi="黑体" w:eastAsia="仿宋_GB2312" w:cs="Times New Roman"/>
          <w:sz w:val="28"/>
          <w:szCs w:val="24"/>
        </w:rPr>
        <w:t>选择“学生认证”。</w:t>
      </w:r>
    </w:p>
    <w:p w14:paraId="232247BC">
      <w:pPr>
        <w:ind w:firstLine="560" w:firstLineChars="200"/>
        <w:rPr>
          <w:rFonts w:ascii="仿宋_GB2312" w:hAnsi="黑体" w:eastAsia="仿宋_GB2312" w:cs="Times New Roman"/>
          <w:sz w:val="28"/>
          <w:szCs w:val="24"/>
        </w:rPr>
      </w:pPr>
      <w:r>
        <w:rPr>
          <w:rFonts w:hint="eastAsia" w:ascii="仿宋_GB2312" w:hAnsi="黑体" w:eastAsia="仿宋_GB2312" w:cs="Times New Roman"/>
          <w:sz w:val="28"/>
          <w:szCs w:val="24"/>
        </w:rPr>
        <w:t>使用爱课程网账号注册，注册时尽量避免使用163邮箱。</w:t>
      </w:r>
    </w:p>
    <w:p w14:paraId="0A68CA42">
      <w:pPr>
        <w:jc w:val="center"/>
        <w:rPr>
          <w:rFonts w:ascii="仿宋_GB2312" w:hAnsi="黑体" w:eastAsia="仿宋_GB2312" w:cs="Times New Roman"/>
          <w:sz w:val="28"/>
          <w:szCs w:val="24"/>
        </w:rPr>
      </w:pPr>
      <w:r>
        <w:rPr>
          <w:rFonts w:ascii="仿宋_GB2312" w:hAnsi="黑体" w:eastAsia="仿宋_GB2312" w:cs="Times New Roman"/>
          <w:sz w:val="28"/>
          <w:szCs w:val="24"/>
        </w:rPr>
        <w:drawing>
          <wp:inline distT="0" distB="0" distL="0" distR="0">
            <wp:extent cx="3724910" cy="2162175"/>
            <wp:effectExtent l="0" t="0" r="8890" b="952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726773" cy="2163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仿宋_GB2312" w:hAnsi="黑体" w:eastAsia="仿宋_GB2312" w:cs="Times New Roman"/>
          <w:sz w:val="28"/>
          <w:szCs w:val="24"/>
        </w:rPr>
        <w:drawing>
          <wp:inline distT="0" distB="0" distL="0" distR="0">
            <wp:extent cx="3658870" cy="2124075"/>
            <wp:effectExtent l="0" t="0" r="17780" b="9525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663065" cy="21261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ECF23A5">
      <w:pPr>
        <w:jc w:val="center"/>
        <w:rPr>
          <w:rFonts w:ascii="仿宋_GB2312" w:hAnsi="黑体" w:eastAsia="仿宋_GB2312" w:cs="Times New Roman"/>
          <w:sz w:val="28"/>
          <w:szCs w:val="24"/>
        </w:rPr>
      </w:pPr>
      <w:r>
        <w:rPr>
          <w:rFonts w:ascii="仿宋_GB2312" w:hAnsi="黑体" w:eastAsia="仿宋_GB2312" w:cs="Times New Roman"/>
          <w:sz w:val="28"/>
          <w:szCs w:val="24"/>
        </w:rPr>
        <w:drawing>
          <wp:inline distT="0" distB="0" distL="0" distR="0">
            <wp:extent cx="3642995" cy="2114550"/>
            <wp:effectExtent l="0" t="0" r="14605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645736" cy="2116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449CC">
      <w:pPr>
        <w:ind w:firstLine="560" w:firstLineChars="200"/>
        <w:rPr>
          <w:rFonts w:ascii="仿宋_GB2312" w:hAnsi="黑体" w:eastAsia="仿宋_GB2312" w:cs="Times New Roman"/>
          <w:sz w:val="28"/>
          <w:szCs w:val="24"/>
        </w:rPr>
      </w:pPr>
      <w:r>
        <w:rPr>
          <w:rFonts w:hint="eastAsia" w:ascii="仿宋_GB2312" w:hAnsi="黑体" w:eastAsia="仿宋_GB2312" w:cs="Times New Roman"/>
          <w:sz w:val="28"/>
          <w:szCs w:val="24"/>
        </w:rPr>
        <w:t>注册成功后，请到注册邮箱中激活账号。</w:t>
      </w:r>
    </w:p>
    <w:p w14:paraId="2043CB03">
      <w:pPr>
        <w:jc w:val="center"/>
        <w:rPr>
          <w:rFonts w:ascii="仿宋_GB2312" w:hAnsi="黑体" w:eastAsia="仿宋_GB2312" w:cs="Times New Roman"/>
          <w:sz w:val="28"/>
          <w:szCs w:val="24"/>
        </w:rPr>
      </w:pPr>
      <w:r>
        <w:rPr>
          <w:rFonts w:ascii="仿宋_GB2312" w:hAnsi="黑体" w:eastAsia="仿宋_GB2312" w:cs="Times New Roman"/>
          <w:sz w:val="28"/>
          <w:szCs w:val="24"/>
        </w:rPr>
        <w:drawing>
          <wp:inline distT="0" distB="0" distL="0" distR="0">
            <wp:extent cx="3773805" cy="2190750"/>
            <wp:effectExtent l="0" t="0" r="17145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785764" cy="21974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FE0FA1">
      <w:pPr>
        <w:ind w:firstLine="560" w:firstLineChars="200"/>
        <w:rPr>
          <w:rFonts w:ascii="仿宋_GB2312" w:hAnsi="黑体" w:eastAsia="仿宋_GB2312" w:cs="Times New Roman"/>
          <w:sz w:val="28"/>
          <w:szCs w:val="24"/>
        </w:rPr>
      </w:pPr>
      <w:r>
        <w:rPr>
          <w:rFonts w:hint="eastAsia" w:ascii="仿宋_GB2312" w:hAnsi="黑体" w:eastAsia="仿宋_GB2312" w:cs="Times New Roman"/>
          <w:sz w:val="28"/>
          <w:szCs w:val="24"/>
        </w:rPr>
        <w:t>登录成功后点击“开通该账号”。然后认真选择学校名称、学号、本人真实姓名，身份证后六位进行认证。认证通过后就可以看到本校的SPOC课程，选择相应的课程进行学习即可。</w:t>
      </w:r>
    </w:p>
    <w:p w14:paraId="6F119CCE">
      <w:pPr>
        <w:ind w:firstLine="420" w:firstLineChars="200"/>
        <w:jc w:val="center"/>
        <w:rPr>
          <w:rFonts w:ascii="仿宋_GB2312" w:hAnsi="黑体" w:eastAsia="仿宋_GB2312" w:cs="Times New Roman"/>
          <w:sz w:val="28"/>
          <w:szCs w:val="24"/>
        </w:rPr>
      </w:pPr>
      <w:r>
        <w:drawing>
          <wp:inline distT="0" distB="0" distL="0" distR="0">
            <wp:extent cx="3457575" cy="2884805"/>
            <wp:effectExtent l="0" t="0" r="9525" b="10795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458214" cy="28858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9D88C11">
      <w:pPr>
        <w:jc w:val="center"/>
        <w:rPr>
          <w:rFonts w:ascii="仿宋_GB2312" w:hAnsi="黑体" w:eastAsia="仿宋_GB2312" w:cs="Times New Roman"/>
          <w:sz w:val="28"/>
          <w:szCs w:val="24"/>
        </w:rPr>
      </w:pPr>
      <w:r>
        <w:rPr>
          <w:rFonts w:ascii="仿宋_GB2312" w:hAnsi="黑体" w:eastAsia="仿宋_GB2312" w:cs="Times New Roman"/>
          <w:sz w:val="28"/>
          <w:szCs w:val="24"/>
        </w:rPr>
        <w:drawing>
          <wp:inline distT="0" distB="0" distL="0" distR="0">
            <wp:extent cx="3773805" cy="2190750"/>
            <wp:effectExtent l="0" t="0" r="17145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779101" cy="219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374DB0">
      <w:pPr>
        <w:jc w:val="center"/>
        <w:rPr>
          <w:rFonts w:ascii="仿宋_GB2312" w:hAnsi="黑体" w:eastAsia="仿宋_GB2312" w:cs="Times New Roman"/>
          <w:sz w:val="28"/>
          <w:szCs w:val="24"/>
        </w:rPr>
      </w:pPr>
      <w:r>
        <w:rPr>
          <w:rFonts w:ascii="仿宋_GB2312" w:hAnsi="黑体" w:eastAsia="仿宋_GB2312" w:cs="Times New Roman"/>
          <w:sz w:val="28"/>
          <w:szCs w:val="24"/>
        </w:rPr>
        <w:drawing>
          <wp:inline distT="0" distB="0" distL="0" distR="0">
            <wp:extent cx="3773805" cy="2190750"/>
            <wp:effectExtent l="0" t="0" r="17145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779101" cy="2193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919E858">
      <w:pPr>
        <w:rPr>
          <w:rFonts w:ascii="仿宋_GB2312" w:hAnsi="黑体" w:eastAsia="仿宋_GB2312" w:cs="Times New Roman"/>
          <w:sz w:val="28"/>
          <w:szCs w:val="24"/>
        </w:rPr>
      </w:pPr>
      <w:r>
        <w:rPr>
          <w:rFonts w:hint="eastAsia" w:ascii="仿宋_GB2312" w:hAnsi="黑体" w:eastAsia="仿宋_GB2312" w:cs="Times New Roman"/>
          <w:sz w:val="28"/>
          <w:szCs w:val="24"/>
        </w:rPr>
        <w:tab/>
      </w:r>
      <w:r>
        <w:rPr>
          <w:rFonts w:hint="eastAsia" w:ascii="仿宋_GB2312" w:hAnsi="黑体" w:eastAsia="仿宋_GB2312" w:cs="Times New Roman"/>
          <w:sz w:val="28"/>
          <w:szCs w:val="24"/>
        </w:rPr>
        <w:t>《中国税制》和《轻松统计学》课程请选择“查看本科MOOC课程”。</w:t>
      </w:r>
    </w:p>
    <w:p w14:paraId="146F99E1">
      <w:pPr>
        <w:ind w:firstLine="560" w:firstLineChars="200"/>
        <w:rPr>
          <w:rFonts w:ascii="仿宋_GB2312" w:hAnsi="黑体" w:eastAsia="仿宋_GB2312" w:cs="Times New Roman"/>
          <w:sz w:val="28"/>
          <w:szCs w:val="24"/>
        </w:rPr>
      </w:pPr>
      <w:r>
        <w:rPr>
          <w:rFonts w:hint="eastAsia" w:ascii="仿宋_GB2312" w:hAnsi="黑体" w:eastAsia="仿宋_GB2312" w:cs="Times New Roman"/>
          <w:sz w:val="28"/>
          <w:szCs w:val="24"/>
        </w:rPr>
        <w:t>二、加入课程</w:t>
      </w:r>
    </w:p>
    <w:p w14:paraId="1E6295C9">
      <w:pPr>
        <w:ind w:firstLine="560" w:firstLineChars="200"/>
        <w:rPr>
          <w:rFonts w:ascii="仿宋_GB2312" w:hAnsi="黑体" w:eastAsia="仿宋_GB2312" w:cs="Times New Roman"/>
          <w:sz w:val="28"/>
          <w:szCs w:val="24"/>
        </w:rPr>
      </w:pPr>
      <w:r>
        <w:rPr>
          <w:rFonts w:hint="eastAsia" w:ascii="仿宋_GB2312" w:hAnsi="黑体" w:eastAsia="仿宋_GB2312" w:cs="Times New Roman"/>
          <w:sz w:val="28"/>
          <w:szCs w:val="24"/>
        </w:rPr>
        <w:t>在本校在线课程中心点击要学习的课程，在课程介绍页中点击加入课程。</w:t>
      </w:r>
    </w:p>
    <w:p w14:paraId="5F92C5B5">
      <w:pPr>
        <w:ind w:firstLine="420" w:firstLineChars="200"/>
        <w:rPr>
          <w:rFonts w:ascii="仿宋_GB2312" w:hAnsi="黑体" w:eastAsia="仿宋_GB2312" w:cs="Times New Roman"/>
          <w:sz w:val="28"/>
          <w:szCs w:val="24"/>
        </w:rPr>
      </w:pPr>
      <w:r>
        <w:drawing>
          <wp:inline distT="0" distB="0" distL="0" distR="0">
            <wp:extent cx="5274310" cy="3578860"/>
            <wp:effectExtent l="0" t="0" r="2540" b="254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79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9F9118D">
      <w:pPr>
        <w:ind w:firstLine="560" w:firstLineChars="200"/>
        <w:rPr>
          <w:rFonts w:ascii="仿宋_GB2312" w:hAnsi="黑体" w:eastAsia="仿宋_GB2312" w:cs="Times New Roman"/>
          <w:sz w:val="28"/>
          <w:szCs w:val="24"/>
        </w:rPr>
      </w:pPr>
      <w:r>
        <w:rPr>
          <w:rFonts w:hint="eastAsia" w:ascii="仿宋_GB2312" w:hAnsi="黑体" w:eastAsia="仿宋_GB2312" w:cs="Times New Roman"/>
          <w:sz w:val="28"/>
          <w:szCs w:val="24"/>
        </w:rPr>
        <w:t>三、</w:t>
      </w:r>
      <w:r>
        <w:rPr>
          <w:rFonts w:ascii="仿宋_GB2312" w:hAnsi="黑体" w:eastAsia="仿宋_GB2312" w:cs="Times New Roman"/>
          <w:sz w:val="28"/>
          <w:szCs w:val="24"/>
        </w:rPr>
        <w:t>学习页面</w:t>
      </w:r>
    </w:p>
    <w:p w14:paraId="6C0E72F3">
      <w:pPr>
        <w:ind w:firstLine="560" w:firstLineChars="200"/>
        <w:rPr>
          <w:rFonts w:ascii="仿宋_GB2312" w:hAnsi="黑体" w:eastAsia="仿宋_GB2312" w:cs="Times New Roman"/>
          <w:sz w:val="28"/>
          <w:szCs w:val="24"/>
        </w:rPr>
      </w:pPr>
      <w:r>
        <w:rPr>
          <w:rFonts w:ascii="仿宋_GB2312" w:hAnsi="黑体" w:eastAsia="仿宋_GB2312" w:cs="Times New Roman"/>
          <w:sz w:val="28"/>
          <w:szCs w:val="24"/>
        </w:rPr>
        <w:t>1 课程学习</w:t>
      </w:r>
    </w:p>
    <w:p w14:paraId="5B15B151">
      <w:pPr>
        <w:ind w:firstLine="560" w:firstLineChars="200"/>
        <w:rPr>
          <w:rFonts w:ascii="仿宋_GB2312" w:hAnsi="黑体" w:eastAsia="仿宋_GB2312" w:cs="Times New Roman"/>
          <w:sz w:val="28"/>
          <w:szCs w:val="24"/>
        </w:rPr>
      </w:pPr>
      <w:r>
        <w:rPr>
          <w:rFonts w:ascii="仿宋_GB2312" w:hAnsi="黑体" w:eastAsia="仿宋_GB2312" w:cs="Times New Roman"/>
          <w:sz w:val="28"/>
          <w:szCs w:val="24"/>
        </w:rPr>
        <w:t>如果是同步 SPOC，在学生的学习界面上，将同时展示同步 SPOC 课程的内容+同步MOOC 课程的内容；以课件界面为例，遵循 SPOC 课程内容在上、 MOOC 课程内容在下的展示方式。 如果是异步或独立 SPOC，与 MOOC 学习界面基本相同。</w:t>
      </w:r>
    </w:p>
    <w:p w14:paraId="1CFAEE5D">
      <w:pPr>
        <w:ind w:firstLine="420" w:firstLineChars="200"/>
        <w:jc w:val="center"/>
        <w:rPr>
          <w:rFonts w:ascii="仿宋_GB2312" w:hAnsi="黑体" w:eastAsia="仿宋_GB2312" w:cs="Times New Roman"/>
          <w:sz w:val="28"/>
          <w:szCs w:val="24"/>
        </w:rPr>
      </w:pPr>
      <w:r>
        <w:drawing>
          <wp:inline distT="0" distB="0" distL="0" distR="0">
            <wp:extent cx="5274310" cy="2779395"/>
            <wp:effectExtent l="0" t="0" r="2540" b="190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800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DA434C">
      <w:pPr>
        <w:ind w:firstLine="560" w:firstLineChars="200"/>
        <w:jc w:val="left"/>
        <w:rPr>
          <w:rFonts w:ascii="仿宋_GB2312" w:hAnsi="黑体" w:eastAsia="仿宋_GB2312" w:cs="Times New Roman"/>
          <w:sz w:val="28"/>
          <w:szCs w:val="24"/>
        </w:rPr>
      </w:pPr>
      <w:r>
        <w:rPr>
          <w:rFonts w:hint="eastAsia" w:ascii="仿宋_GB2312" w:hAnsi="黑体" w:eastAsia="仿宋_GB2312" w:cs="Times New Roman"/>
          <w:sz w:val="28"/>
          <w:szCs w:val="24"/>
        </w:rPr>
        <w:t>2 课程讨论</w:t>
      </w:r>
    </w:p>
    <w:p w14:paraId="3CC8E0AB">
      <w:pPr>
        <w:ind w:firstLine="560" w:firstLineChars="200"/>
        <w:jc w:val="left"/>
        <w:rPr>
          <w:rFonts w:ascii="仿宋_GB2312" w:hAnsi="黑体" w:eastAsia="仿宋_GB2312" w:cs="Times New Roman"/>
          <w:sz w:val="28"/>
          <w:szCs w:val="24"/>
        </w:rPr>
      </w:pPr>
      <w:r>
        <w:rPr>
          <w:rFonts w:hint="eastAsia" w:ascii="仿宋_GB2312" w:hAnsi="黑体" w:eastAsia="仿宋_GB2312" w:cs="Times New Roman"/>
          <w:sz w:val="28"/>
          <w:szCs w:val="24"/>
        </w:rPr>
        <w:t>在 MOOC 讨论区内容中，可以看到所有选了这门 MOOC 课程的人的讨论；</w:t>
      </w:r>
    </w:p>
    <w:p w14:paraId="1566CDE7">
      <w:pPr>
        <w:ind w:firstLine="560" w:firstLineChars="200"/>
        <w:jc w:val="left"/>
        <w:rPr>
          <w:rFonts w:ascii="仿宋_GB2312" w:hAnsi="黑体" w:eastAsia="仿宋_GB2312" w:cs="Times New Roman"/>
          <w:sz w:val="28"/>
          <w:szCs w:val="24"/>
        </w:rPr>
      </w:pPr>
      <w:r>
        <w:rPr>
          <w:rFonts w:hint="eastAsia" w:ascii="仿宋_GB2312" w:hAnsi="黑体" w:eastAsia="仿宋_GB2312" w:cs="Times New Roman"/>
          <w:sz w:val="28"/>
          <w:szCs w:val="24"/>
        </w:rPr>
        <w:t>在 SPOC 讨论区内容中，只可以看到参加了这门 SPOC 课程的人的讨论；</w:t>
      </w:r>
    </w:p>
    <w:p w14:paraId="75699382">
      <w:pPr>
        <w:ind w:firstLine="420" w:firstLineChars="200"/>
        <w:jc w:val="left"/>
      </w:pPr>
      <w:r>
        <w:drawing>
          <wp:inline distT="0" distB="0" distL="0" distR="0">
            <wp:extent cx="5274310" cy="2702560"/>
            <wp:effectExtent l="0" t="0" r="2540" b="254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030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1C92156"/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200247B" w:usb2="00000009" w:usb3="00000000" w:csb0="200001FF" w:csb1="00000000"/>
  </w:font>
  <w:font w:name="楷体_GB2312">
    <w:altName w:val="楷体"/>
    <w:panose1 w:val="00000000000000000000"/>
    <w:charset w:val="86"/>
    <w:family w:val="auto"/>
    <w:pitch w:val="default"/>
    <w:sig w:usb0="00000000" w:usb1="00000000" w:usb2="00000000" w:usb3="00000000" w:csb0="00040000" w:csb1="00000000"/>
  </w:font>
  <w:font w:name="楷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仿宋_GB2312">
    <w:altName w:val="仿宋"/>
    <w:panose1 w:val="00000000000000000000"/>
    <w:charset w:val="86"/>
    <w:family w:val="modern"/>
    <w:pitch w:val="default"/>
    <w:sig w:usb0="00000000" w:usb1="00000000" w:usb2="00000010" w:usb3="00000000" w:csb0="00040000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1564DCE4"/>
    <w:multiLevelType w:val="singleLevel"/>
    <w:tmpl w:val="1564DCE4"/>
    <w:lvl w:ilvl="0" w:tentative="0">
      <w:start w:val="1"/>
      <w:numFmt w:val="decimal"/>
      <w:suff w:val="space"/>
      <w:lvlText w:val="%1."/>
      <w:lvlJc w:val="left"/>
    </w:lvl>
  </w:abstractNum>
  <w:abstractNum w:abstractNumId="1">
    <w:nsid w:val="7FF8267A"/>
    <w:multiLevelType w:val="multilevel"/>
    <w:tmpl w:val="7FF8267A"/>
    <w:lvl w:ilvl="0" w:tentative="0">
      <w:start w:val="1"/>
      <w:numFmt w:val="japaneseCounting"/>
      <w:lvlText w:val="%1、"/>
      <w:lvlJc w:val="left"/>
      <w:pPr>
        <w:ind w:left="1280" w:hanging="720"/>
      </w:pPr>
      <w:rPr>
        <w:rFonts w:hint="default" w:ascii="Times New Roman" w:hAnsi="Times New Roman"/>
        <w:b w:val="0"/>
      </w:rPr>
    </w:lvl>
    <w:lvl w:ilvl="1" w:tentative="0">
      <w:start w:val="1"/>
      <w:numFmt w:val="lowerLetter"/>
      <w:lvlText w:val="%2)"/>
      <w:lvlJc w:val="left"/>
      <w:pPr>
        <w:ind w:left="1400" w:hanging="420"/>
      </w:pPr>
    </w:lvl>
    <w:lvl w:ilvl="2" w:tentative="0">
      <w:start w:val="1"/>
      <w:numFmt w:val="lowerRoman"/>
      <w:lvlText w:val="%3."/>
      <w:lvlJc w:val="right"/>
      <w:pPr>
        <w:ind w:left="1820" w:hanging="420"/>
      </w:pPr>
    </w:lvl>
    <w:lvl w:ilvl="3" w:tentative="0">
      <w:start w:val="1"/>
      <w:numFmt w:val="decimal"/>
      <w:lvlText w:val="%4."/>
      <w:lvlJc w:val="left"/>
      <w:pPr>
        <w:ind w:left="2240" w:hanging="420"/>
      </w:pPr>
    </w:lvl>
    <w:lvl w:ilvl="4" w:tentative="0">
      <w:start w:val="1"/>
      <w:numFmt w:val="lowerLetter"/>
      <w:lvlText w:val="%5)"/>
      <w:lvlJc w:val="left"/>
      <w:pPr>
        <w:ind w:left="2660" w:hanging="420"/>
      </w:pPr>
    </w:lvl>
    <w:lvl w:ilvl="5" w:tentative="0">
      <w:start w:val="1"/>
      <w:numFmt w:val="lowerRoman"/>
      <w:lvlText w:val="%6."/>
      <w:lvlJc w:val="right"/>
      <w:pPr>
        <w:ind w:left="3080" w:hanging="420"/>
      </w:pPr>
    </w:lvl>
    <w:lvl w:ilvl="6" w:tentative="0">
      <w:start w:val="1"/>
      <w:numFmt w:val="decimal"/>
      <w:lvlText w:val="%7."/>
      <w:lvlJc w:val="left"/>
      <w:pPr>
        <w:ind w:left="3500" w:hanging="420"/>
      </w:pPr>
    </w:lvl>
    <w:lvl w:ilvl="7" w:tentative="0">
      <w:start w:val="1"/>
      <w:numFmt w:val="lowerLetter"/>
      <w:lvlText w:val="%8)"/>
      <w:lvlJc w:val="left"/>
      <w:pPr>
        <w:ind w:left="3920" w:hanging="420"/>
      </w:pPr>
    </w:lvl>
    <w:lvl w:ilvl="8" w:tentative="0">
      <w:start w:val="1"/>
      <w:numFmt w:val="lowerRoman"/>
      <w:lvlText w:val="%9."/>
      <w:lvlJc w:val="right"/>
      <w:pPr>
        <w:ind w:left="4340" w:hanging="42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TZjNTkzYWY4NDdhZmVkZjkxYjBkZjI0ZjMxNWU1NmQifQ=="/>
  </w:docVars>
  <w:rsids>
    <w:rsidRoot w:val="415B630E"/>
    <w:rsid w:val="004256DE"/>
    <w:rsid w:val="00792EAE"/>
    <w:rsid w:val="007F4A9D"/>
    <w:rsid w:val="009658B7"/>
    <w:rsid w:val="00974AD4"/>
    <w:rsid w:val="00C16762"/>
    <w:rsid w:val="057A02EF"/>
    <w:rsid w:val="1A1504B8"/>
    <w:rsid w:val="20231B15"/>
    <w:rsid w:val="2FC111AF"/>
    <w:rsid w:val="35CB558F"/>
    <w:rsid w:val="415B630E"/>
    <w:rsid w:val="4A331C29"/>
    <w:rsid w:val="4BA32DDE"/>
    <w:rsid w:val="52AA39BE"/>
    <w:rsid w:val="5E42146A"/>
    <w:rsid w:val="60D6376B"/>
    <w:rsid w:val="6E8F4E94"/>
    <w:rsid w:val="7A814A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autoRedefine/>
    <w:semiHidden/>
    <w:unhideWhenUsed/>
    <w:qFormat/>
    <w:uiPriority w:val="1"/>
  </w:style>
  <w:style w:type="table" w:default="1" w:styleId="3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Normal (Web)"/>
    <w:basedOn w:val="1"/>
    <w:autoRedefine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paragraph" w:styleId="5">
    <w:name w:val="List Paragraph"/>
    <w:basedOn w:val="1"/>
    <w:autoRedefine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8" Type="http://schemas.openxmlformats.org/officeDocument/2006/relationships/fontTable" Target="fontTable.xml"/><Relationship Id="rId17" Type="http://schemas.openxmlformats.org/officeDocument/2006/relationships/numbering" Target="numbering.xml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8</Pages>
  <Words>1256</Words>
  <Characters>1391</Characters>
  <Lines>12</Lines>
  <Paragraphs>3</Paragraphs>
  <TotalTime>13</TotalTime>
  <ScaleCrop>false</ScaleCrop>
  <LinksUpToDate>false</LinksUpToDate>
  <CharactersWithSpaces>1417</CharactersWithSpaces>
  <Application>WPS Office_12.1.0.19302_F1E327BC-269C-435d-A152-05C5408002CA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2020-07-09T07:11:00Z</dcterms:created>
  <dc:creator>1200600557</dc:creator>
  <cp:lastModifiedBy>邹玉莹</cp:lastModifiedBy>
  <dcterms:modified xsi:type="dcterms:W3CDTF">2025-06-14T07:47:45Z</dcterms:modified>
  <cp:revision>5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2052-12.1.0.19302</vt:lpwstr>
  </property>
  <property fmtid="{D5CDD505-2E9C-101B-9397-08002B2CF9AE}" pid="3" name="ICV">
    <vt:lpwstr>5D79AB01D22D4F599EF3BE0E8ABA5177_13</vt:lpwstr>
  </property>
</Properties>
</file>