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6A16C">
      <w:pPr>
        <w:keepNext w:val="0"/>
        <w:keepLines w:val="0"/>
        <w:pageBreakBefore w:val="0"/>
        <w:widowControl/>
        <w:shd w:val="clear" w:color="auto" w:fill="FFFFFF"/>
        <w:kinsoku/>
        <w:wordWrap/>
        <w:overflowPunct/>
        <w:topLinePunct w:val="0"/>
        <w:autoSpaceDE/>
        <w:autoSpaceDN/>
        <w:bidi w:val="0"/>
        <w:adjustRightInd/>
        <w:snapToGrid w:val="0"/>
        <w:spacing w:before="414" w:line="640" w:lineRule="exact"/>
        <w:jc w:val="center"/>
        <w:textAlignment w:val="auto"/>
        <w:rPr>
          <w:rFonts w:hint="eastAsia" w:ascii="方正小标宋简体" w:hAnsi="方正小标宋简体" w:eastAsia="方正小标宋简体" w:cs="方正小标宋简体"/>
          <w:b w:val="0"/>
          <w:bCs w:val="0"/>
          <w:color w:val="0C0C0C"/>
          <w:kern w:val="0"/>
          <w:sz w:val="44"/>
          <w:szCs w:val="44"/>
        </w:rPr>
      </w:pPr>
      <w:r>
        <w:rPr>
          <w:rFonts w:hint="eastAsia" w:ascii="方正小标宋简体" w:hAnsi="方正小标宋简体" w:eastAsia="方正小标宋简体" w:cs="方正小标宋简体"/>
          <w:b w:val="0"/>
          <w:bCs w:val="0"/>
          <w:color w:val="0C0C0C"/>
          <w:kern w:val="0"/>
          <w:sz w:val="44"/>
          <w:szCs w:val="44"/>
        </w:rPr>
        <w:t>202</w:t>
      </w:r>
      <w:r>
        <w:rPr>
          <w:rFonts w:hint="eastAsia" w:ascii="方正小标宋简体" w:hAnsi="方正小标宋简体" w:eastAsia="方正小标宋简体" w:cs="方正小标宋简体"/>
          <w:b w:val="0"/>
          <w:bCs w:val="0"/>
          <w:color w:val="0C0C0C"/>
          <w:kern w:val="0"/>
          <w:sz w:val="44"/>
          <w:szCs w:val="44"/>
          <w:lang w:val="en-US" w:eastAsia="zh-CN"/>
        </w:rPr>
        <w:t>5</w:t>
      </w:r>
      <w:r>
        <w:rPr>
          <w:rFonts w:hint="eastAsia" w:ascii="方正小标宋简体" w:hAnsi="方正小标宋简体" w:eastAsia="方正小标宋简体" w:cs="方正小标宋简体"/>
          <w:b w:val="0"/>
          <w:bCs w:val="0"/>
          <w:color w:val="0C0C0C"/>
          <w:kern w:val="0"/>
          <w:sz w:val="44"/>
          <w:szCs w:val="44"/>
        </w:rPr>
        <w:t>级金融学专业辅修学士学位（专业）</w:t>
      </w:r>
      <w:r>
        <w:rPr>
          <w:rFonts w:hint="eastAsia" w:ascii="方正小标宋简体" w:hAnsi="方正小标宋简体" w:eastAsia="方正小标宋简体" w:cs="方正小标宋简体"/>
          <w:b w:val="0"/>
          <w:bCs w:val="0"/>
          <w:color w:val="0C0C0C"/>
          <w:kern w:val="0"/>
          <w:sz w:val="44"/>
          <w:szCs w:val="44"/>
          <w:lang w:val="en-US" w:eastAsia="zh-CN"/>
        </w:rPr>
        <w:t xml:space="preserve">  </w:t>
      </w:r>
      <w:r>
        <w:rPr>
          <w:rFonts w:hint="eastAsia" w:ascii="方正小标宋简体" w:hAnsi="方正小标宋简体" w:eastAsia="方正小标宋简体" w:cs="方正小标宋简体"/>
          <w:b w:val="0"/>
          <w:bCs w:val="0"/>
          <w:color w:val="0C0C0C"/>
          <w:kern w:val="0"/>
          <w:sz w:val="44"/>
          <w:szCs w:val="44"/>
        </w:rPr>
        <w:t>课程设置</w:t>
      </w:r>
    </w:p>
    <w:p w14:paraId="375A3A4F">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非经济学学科门类的学生可选择攻读本专业辅修学士学位，需要在第三至第八学期完成下表中的课程学习和毕业论文，最低需修满37学分。满足主修专业毕业条件和学士学位授予要求，辅修符合国家学位条例学士学位授予条件，可授予辅修经济学学士学位。</w:t>
      </w:r>
    </w:p>
    <w:p w14:paraId="5D6CB92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本校经济学学科门类的非金融学专业的学生可选择攻读本专业辅修专业，需要在第三至第八学期完成下表中标★的8门课程学习，最低需修满24学分。满足主修专业毕业条件，可授予金融学专业辅修专业证书。</w:t>
      </w:r>
    </w:p>
    <w:p w14:paraId="37907537">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学院：金融学院</w:t>
      </w:r>
    </w:p>
    <w:p w14:paraId="58FC5B36">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专业名称：金融学（辅修</w:t>
      </w:r>
      <w:r>
        <w:rPr>
          <w:rFonts w:hint="eastAsia" w:ascii="仿宋" w:hAnsi="仿宋" w:eastAsia="仿宋" w:cs="仿宋"/>
          <w:b/>
          <w:bCs/>
          <w:sz w:val="28"/>
          <w:szCs w:val="28"/>
          <w:lang w:val="en-US" w:eastAsia="zh-CN"/>
        </w:rPr>
        <w:t>学位</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或</w:t>
      </w:r>
      <w:r>
        <w:rPr>
          <w:rFonts w:hint="eastAsia" w:ascii="仿宋" w:hAnsi="仿宋" w:eastAsia="仿宋" w:cs="仿宋"/>
          <w:b/>
          <w:bCs/>
          <w:sz w:val="28"/>
          <w:szCs w:val="28"/>
        </w:rPr>
        <w:t>金融学（辅修专业）</w:t>
      </w:r>
    </w:p>
    <w:p w14:paraId="038C7A5B">
      <w:pPr>
        <w:adjustRightInd w:val="0"/>
        <w:snapToGrid w:val="0"/>
        <w:spacing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rPr>
        <w:t>学位：经济学学士</w:t>
      </w:r>
      <w:r>
        <w:rPr>
          <w:rFonts w:hint="eastAsia" w:ascii="仿宋" w:hAnsi="仿宋" w:eastAsia="仿宋" w:cs="仿宋"/>
          <w:b/>
          <w:bCs/>
          <w:sz w:val="28"/>
          <w:szCs w:val="28"/>
          <w:lang w:val="en-US" w:eastAsia="zh-CN"/>
        </w:rPr>
        <w:t>学位</w:t>
      </w:r>
    </w:p>
    <w:tbl>
      <w:tblPr>
        <w:tblStyle w:val="4"/>
        <w:tblW w:w="8496" w:type="dxa"/>
        <w:tblInd w:w="96" w:type="dxa"/>
        <w:tblLayout w:type="fixed"/>
        <w:tblCellMar>
          <w:top w:w="0" w:type="dxa"/>
          <w:left w:w="108" w:type="dxa"/>
          <w:bottom w:w="0" w:type="dxa"/>
          <w:right w:w="108" w:type="dxa"/>
        </w:tblCellMar>
      </w:tblPr>
      <w:tblGrid>
        <w:gridCol w:w="1570"/>
        <w:gridCol w:w="1886"/>
        <w:gridCol w:w="973"/>
        <w:gridCol w:w="865"/>
        <w:gridCol w:w="1148"/>
        <w:gridCol w:w="1239"/>
        <w:gridCol w:w="815"/>
      </w:tblGrid>
      <w:tr w14:paraId="35218EBE">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BC87">
            <w:pPr>
              <w:widowControl/>
              <w:jc w:val="center"/>
              <w:textAlignment w:val="center"/>
              <w:rPr>
                <w:rFonts w:ascii="仿宋" w:hAnsi="仿宋" w:eastAsia="仿宋" w:cs="仿宋"/>
                <w:color w:val="000000"/>
                <w:sz w:val="24"/>
                <w:szCs w:val="24"/>
              </w:rPr>
            </w:pPr>
            <w:bookmarkStart w:id="0" w:name="_GoBack"/>
            <w:r>
              <w:rPr>
                <w:rFonts w:hint="eastAsia" w:ascii="仿宋" w:hAnsi="仿宋" w:eastAsia="仿宋" w:cs="仿宋"/>
                <w:color w:val="000000"/>
                <w:kern w:val="0"/>
                <w:sz w:val="24"/>
                <w:szCs w:val="24"/>
              </w:rPr>
              <w:t>课程代码</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AB7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课程名称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719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学分</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77BB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课时</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80A84">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开课学期</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57B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先修课程</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9CD1">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备注</w:t>
            </w:r>
          </w:p>
        </w:tc>
      </w:tr>
      <w:tr w14:paraId="72918567">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AF4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1004200313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2AB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保险学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3A8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8D7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A60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三、五</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435D">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A46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6D17B8A4">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15E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1004201913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81C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金融学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08C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5FC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E98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三、五</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5C49">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F3A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36D6CCFE">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9C3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1004203083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6E74">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证券投资学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1829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A06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F93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三、五</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82FB">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A491">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0D4DA825">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389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1004200903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A39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国际金融</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30C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94B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3F5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四、六</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1D1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金融学</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D36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0E3AFD8C">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EA6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1004200743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8CC0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公司金融</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E6F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140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A83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五、七</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3BE1">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5784">
            <w:pPr>
              <w:widowControl/>
              <w:jc w:val="center"/>
              <w:textAlignment w:val="center"/>
              <w:rPr>
                <w:rFonts w:ascii="仿宋" w:hAnsi="仿宋" w:eastAsia="仿宋" w:cs="仿宋"/>
                <w:color w:val="000000"/>
                <w:sz w:val="24"/>
                <w:szCs w:val="24"/>
              </w:rPr>
            </w:pPr>
          </w:p>
        </w:tc>
      </w:tr>
      <w:tr w14:paraId="6E0C077F">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FE9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1004200862</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6B2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国际结算</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C24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F4B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32</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5B31">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四、六</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6B47">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B6251">
            <w:pPr>
              <w:jc w:val="center"/>
              <w:rPr>
                <w:rFonts w:ascii="仿宋" w:hAnsi="仿宋" w:eastAsia="仿宋" w:cs="仿宋"/>
                <w:color w:val="000000"/>
                <w:sz w:val="24"/>
                <w:szCs w:val="24"/>
              </w:rPr>
            </w:pPr>
          </w:p>
        </w:tc>
      </w:tr>
      <w:tr w14:paraId="1DEF62C8">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30A3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1004203763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E86B">
            <w:pPr>
              <w:widowControl/>
              <w:jc w:val="center"/>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外汇交易与外汇</w:t>
            </w:r>
          </w:p>
          <w:p w14:paraId="2E754811">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风险管理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DC06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97F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553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五、七</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46A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国际金融</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E85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2F9118A7">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F3D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1004201773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368B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金融企业会计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D96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238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BB2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四、六</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CAC0">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BE4C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07537039">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A57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1004202243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BE3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商业银行管理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809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7DB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18E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五、七</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DC91">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00AB">
            <w:pPr>
              <w:jc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70C228D2">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4B1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1004203682</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C06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碳金融与绿色金融</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1454">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D56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32</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DEE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五、七</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FCE4">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EBA7">
            <w:pPr>
              <w:jc w:val="center"/>
              <w:rPr>
                <w:rFonts w:ascii="仿宋" w:hAnsi="仿宋" w:eastAsia="仿宋" w:cs="仿宋"/>
                <w:color w:val="000000"/>
                <w:sz w:val="24"/>
                <w:szCs w:val="24"/>
              </w:rPr>
            </w:pPr>
          </w:p>
        </w:tc>
      </w:tr>
      <w:tr w14:paraId="502E3838">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A3A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1004203202</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396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中央银行学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598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AF5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32</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3AC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六、八</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9DBF">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16D4">
            <w:pPr>
              <w:jc w:val="center"/>
              <w:rPr>
                <w:rFonts w:ascii="仿宋" w:hAnsi="仿宋" w:eastAsia="仿宋" w:cs="仿宋"/>
                <w:color w:val="000000"/>
                <w:sz w:val="24"/>
                <w:szCs w:val="24"/>
              </w:rPr>
            </w:pPr>
          </w:p>
        </w:tc>
      </w:tr>
      <w:tr w14:paraId="39A7C4AD">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BE7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1004201503</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89D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金融机构风险管理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38B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0E0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48</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87F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六、八</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FFBB">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BA43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w:t>
            </w:r>
          </w:p>
        </w:tc>
      </w:tr>
      <w:tr w14:paraId="3D1EC8A0">
        <w:tblPrEx>
          <w:tblCellMar>
            <w:top w:w="0" w:type="dxa"/>
            <w:left w:w="108" w:type="dxa"/>
            <w:bottom w:w="0" w:type="dxa"/>
            <w:right w:w="108" w:type="dxa"/>
          </w:tblCellMar>
        </w:tblPrEx>
        <w:trPr>
          <w:trHeight w:val="360" w:hRule="atLeast"/>
        </w:trPr>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7FBC">
            <w:pPr>
              <w:widowControl/>
              <w:jc w:val="center"/>
              <w:textAlignment w:val="center"/>
              <w:rPr>
                <w:rFonts w:ascii="仿宋" w:hAnsi="仿宋" w:eastAsia="仿宋" w:cs="仿宋"/>
                <w:color w:val="000000"/>
                <w:kern w:val="0"/>
                <w:sz w:val="24"/>
                <w:szCs w:val="24"/>
              </w:rPr>
            </w:pPr>
            <w:r>
              <w:rPr>
                <w:rFonts w:hint="eastAsia" w:ascii="仿宋" w:hAnsi="仿宋" w:eastAsia="仿宋" w:cs="仿宋"/>
                <w:color w:val="000000"/>
                <w:sz w:val="24"/>
                <w:szCs w:val="24"/>
              </w:rPr>
              <w:t>小计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CC93">
            <w:pPr>
              <w:widowControl/>
              <w:jc w:val="center"/>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33</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2B0EC">
            <w:pPr>
              <w:jc w:val="center"/>
              <w:rPr>
                <w:rFonts w:ascii="仿宋" w:hAnsi="仿宋" w:eastAsia="仿宋" w:cs="仿宋"/>
                <w:color w:val="000000"/>
                <w:sz w:val="24"/>
                <w:szCs w:val="24"/>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BEAE">
            <w:pPr>
              <w:widowControl/>
              <w:jc w:val="center"/>
              <w:textAlignment w:val="center"/>
              <w:rPr>
                <w:rFonts w:ascii="仿宋" w:hAnsi="仿宋" w:eastAsia="仿宋" w:cs="仿宋"/>
                <w:color w:val="000000"/>
                <w:kern w:val="0"/>
                <w:sz w:val="24"/>
                <w:szCs w:val="24"/>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8302">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2A9C">
            <w:pPr>
              <w:jc w:val="center"/>
              <w:rPr>
                <w:rFonts w:ascii="仿宋" w:hAnsi="仿宋" w:eastAsia="仿宋" w:cs="仿宋"/>
                <w:color w:val="000000"/>
                <w:sz w:val="24"/>
                <w:szCs w:val="24"/>
              </w:rPr>
            </w:pPr>
          </w:p>
        </w:tc>
      </w:tr>
      <w:tr w14:paraId="627F0BB0">
        <w:tblPrEx>
          <w:tblCellMar>
            <w:top w:w="0" w:type="dxa"/>
            <w:left w:w="108" w:type="dxa"/>
            <w:bottom w:w="0" w:type="dxa"/>
            <w:right w:w="108" w:type="dxa"/>
          </w:tblCellMar>
        </w:tblPrEx>
        <w:trPr>
          <w:trHeight w:val="360"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0B76F">
            <w:pPr>
              <w:jc w:val="center"/>
              <w:rPr>
                <w:rFonts w:ascii="仿宋" w:hAnsi="仿宋" w:eastAsia="仿宋" w:cs="仿宋"/>
                <w:color w:val="000000"/>
                <w:sz w:val="24"/>
                <w:szCs w:val="24"/>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57B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毕业论文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5E4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4</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845F8">
            <w:pPr>
              <w:jc w:val="center"/>
              <w:rPr>
                <w:rFonts w:ascii="仿宋" w:hAnsi="仿宋" w:eastAsia="仿宋" w:cs="仿宋"/>
                <w:color w:val="000000"/>
                <w:sz w:val="24"/>
                <w:szCs w:val="24"/>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3421">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八</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F95F">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1DE8">
            <w:pPr>
              <w:jc w:val="center"/>
              <w:rPr>
                <w:rFonts w:ascii="仿宋" w:hAnsi="仿宋" w:eastAsia="仿宋" w:cs="仿宋"/>
                <w:color w:val="000000"/>
                <w:sz w:val="24"/>
                <w:szCs w:val="24"/>
              </w:rPr>
            </w:pPr>
          </w:p>
        </w:tc>
      </w:tr>
      <w:tr w14:paraId="1E453D91">
        <w:tblPrEx>
          <w:tblCellMar>
            <w:top w:w="0" w:type="dxa"/>
            <w:left w:w="108" w:type="dxa"/>
            <w:bottom w:w="0" w:type="dxa"/>
            <w:right w:w="108" w:type="dxa"/>
          </w:tblCellMar>
        </w:tblPrEx>
        <w:trPr>
          <w:trHeight w:val="360" w:hRule="atLeast"/>
        </w:trPr>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975C">
            <w:pPr>
              <w:widowControl/>
              <w:jc w:val="center"/>
              <w:textAlignment w:val="center"/>
              <w:rPr>
                <w:rFonts w:ascii="仿宋" w:hAnsi="仿宋" w:eastAsia="仿宋" w:cs="仿宋"/>
                <w:color w:val="000000"/>
                <w:kern w:val="0"/>
                <w:sz w:val="24"/>
                <w:szCs w:val="24"/>
              </w:rPr>
            </w:pPr>
            <w:r>
              <w:rPr>
                <w:rFonts w:hint="eastAsia" w:ascii="仿宋" w:hAnsi="仿宋" w:eastAsia="仿宋" w:cs="仿宋"/>
                <w:color w:val="000000"/>
                <w:sz w:val="24"/>
                <w:szCs w:val="24"/>
              </w:rPr>
              <w:t>合计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9A1C">
            <w:pPr>
              <w:widowControl/>
              <w:jc w:val="center"/>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37</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47E8">
            <w:pPr>
              <w:jc w:val="center"/>
              <w:rPr>
                <w:rFonts w:ascii="仿宋" w:hAnsi="仿宋" w:eastAsia="仿宋" w:cs="仿宋"/>
                <w:color w:val="000000"/>
                <w:sz w:val="24"/>
                <w:szCs w:val="24"/>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B9B2">
            <w:pPr>
              <w:widowControl/>
              <w:jc w:val="center"/>
              <w:textAlignment w:val="center"/>
              <w:rPr>
                <w:rFonts w:ascii="仿宋" w:hAnsi="仿宋" w:eastAsia="仿宋" w:cs="仿宋"/>
                <w:color w:val="000000"/>
                <w:kern w:val="0"/>
                <w:sz w:val="24"/>
                <w:szCs w:val="24"/>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4787">
            <w:pPr>
              <w:jc w:val="center"/>
              <w:rPr>
                <w:rFonts w:ascii="仿宋" w:hAnsi="仿宋" w:eastAsia="仿宋" w:cs="仿宋"/>
                <w:color w:val="000000"/>
                <w:sz w:val="24"/>
                <w:szCs w:val="24"/>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AEB7">
            <w:pPr>
              <w:jc w:val="center"/>
              <w:rPr>
                <w:rFonts w:ascii="仿宋" w:hAnsi="仿宋" w:eastAsia="仿宋" w:cs="仿宋"/>
                <w:color w:val="000000"/>
                <w:sz w:val="24"/>
                <w:szCs w:val="24"/>
              </w:rPr>
            </w:pPr>
          </w:p>
        </w:tc>
      </w:tr>
      <w:bookmarkEnd w:id="0"/>
    </w:tbl>
    <w:p w14:paraId="09C480CA">
      <w:pPr>
        <w:spacing w:afterLines="50" w:line="360" w:lineRule="auto"/>
        <w:rPr>
          <w:rFonts w:ascii="仿宋" w:hAnsi="仿宋" w:eastAsia="仿宋" w:cs="仿宋"/>
          <w:color w:val="000000"/>
          <w:sz w:val="24"/>
          <w:szCs w:val="24"/>
        </w:rPr>
      </w:pPr>
      <w:r>
        <w:rPr>
          <w:rFonts w:hint="eastAsia" w:ascii="仿宋" w:hAnsi="仿宋" w:eastAsia="仿宋" w:cs="仿宋"/>
          <w:color w:val="000000"/>
          <w:sz w:val="24"/>
          <w:szCs w:val="24"/>
        </w:rPr>
        <w:t>备注：标</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的为辅修专业课程。</w:t>
      </w:r>
    </w:p>
    <w:p w14:paraId="2DDCDB07">
      <w:pPr>
        <w:spacing w:afterLines="50"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75F657BB">
      <w:pPr>
        <w:spacing w:afterLines="50" w:line="360" w:lineRule="auto"/>
        <w:rPr>
          <w:rFonts w:ascii="仿宋" w:hAnsi="仿宋" w:eastAsia="仿宋" w:cs="仿宋"/>
          <w:color w:val="000000"/>
          <w:sz w:val="24"/>
        </w:rPr>
      </w:pPr>
      <w:r>
        <w:rPr>
          <w:rFonts w:hint="eastAsia" w:ascii="仿宋" w:hAnsi="仿宋" w:eastAsia="仿宋" w:cs="仿宋"/>
          <w:color w:val="000000"/>
          <w:sz w:val="24"/>
        </w:rPr>
        <w:t xml:space="preserve">                                             </w:t>
      </w:r>
    </w:p>
    <w:sectPr>
      <w:pgSz w:w="11906" w:h="16838"/>
      <w:pgMar w:top="993"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JjZmU0YTQ4ZGNiYjhhNWQ4NTY0ZTE3ZDMzNTBjODUifQ=="/>
  </w:docVars>
  <w:rsids>
    <w:rsidRoot w:val="3A2E518C"/>
    <w:rsid w:val="00035742"/>
    <w:rsid w:val="0009254D"/>
    <w:rsid w:val="002618C5"/>
    <w:rsid w:val="002D7418"/>
    <w:rsid w:val="002E53CD"/>
    <w:rsid w:val="00304696"/>
    <w:rsid w:val="00310051"/>
    <w:rsid w:val="003A3265"/>
    <w:rsid w:val="00413120"/>
    <w:rsid w:val="00426624"/>
    <w:rsid w:val="004737FB"/>
    <w:rsid w:val="004B1041"/>
    <w:rsid w:val="004F1181"/>
    <w:rsid w:val="00503077"/>
    <w:rsid w:val="00597C90"/>
    <w:rsid w:val="005B3936"/>
    <w:rsid w:val="005D3F15"/>
    <w:rsid w:val="006B6EE5"/>
    <w:rsid w:val="00722F2F"/>
    <w:rsid w:val="00747549"/>
    <w:rsid w:val="007834F1"/>
    <w:rsid w:val="007B0A57"/>
    <w:rsid w:val="00804CD2"/>
    <w:rsid w:val="008F230C"/>
    <w:rsid w:val="009E4E0D"/>
    <w:rsid w:val="00A1353D"/>
    <w:rsid w:val="00A25ED7"/>
    <w:rsid w:val="00A933B8"/>
    <w:rsid w:val="00AE35D5"/>
    <w:rsid w:val="00B23AFC"/>
    <w:rsid w:val="00B41B54"/>
    <w:rsid w:val="00B6060B"/>
    <w:rsid w:val="00BB3113"/>
    <w:rsid w:val="00BC7997"/>
    <w:rsid w:val="00C20AFC"/>
    <w:rsid w:val="00CD4C36"/>
    <w:rsid w:val="00CF74D8"/>
    <w:rsid w:val="00DB43AF"/>
    <w:rsid w:val="00EB61B8"/>
    <w:rsid w:val="00F2160F"/>
    <w:rsid w:val="00F257F2"/>
    <w:rsid w:val="00F662EB"/>
    <w:rsid w:val="00F80824"/>
    <w:rsid w:val="00FF3130"/>
    <w:rsid w:val="02155DE3"/>
    <w:rsid w:val="02FB0CED"/>
    <w:rsid w:val="06163B39"/>
    <w:rsid w:val="09BE6112"/>
    <w:rsid w:val="09F0484A"/>
    <w:rsid w:val="0D244E26"/>
    <w:rsid w:val="0DFE7425"/>
    <w:rsid w:val="0E6A2D0C"/>
    <w:rsid w:val="1145113D"/>
    <w:rsid w:val="129136C2"/>
    <w:rsid w:val="153A0A21"/>
    <w:rsid w:val="17263548"/>
    <w:rsid w:val="18770500"/>
    <w:rsid w:val="1E2B6708"/>
    <w:rsid w:val="1E864856"/>
    <w:rsid w:val="1EBD0C36"/>
    <w:rsid w:val="268564DD"/>
    <w:rsid w:val="26E86A6C"/>
    <w:rsid w:val="27280C17"/>
    <w:rsid w:val="2D254E9B"/>
    <w:rsid w:val="30EC0022"/>
    <w:rsid w:val="33030E77"/>
    <w:rsid w:val="35DB728A"/>
    <w:rsid w:val="3701600F"/>
    <w:rsid w:val="3A2D7660"/>
    <w:rsid w:val="3A2E518C"/>
    <w:rsid w:val="3DC156BC"/>
    <w:rsid w:val="3FA34309"/>
    <w:rsid w:val="42115291"/>
    <w:rsid w:val="427D10E7"/>
    <w:rsid w:val="43F959BD"/>
    <w:rsid w:val="470A1C4C"/>
    <w:rsid w:val="4AF03C14"/>
    <w:rsid w:val="4BE13907"/>
    <w:rsid w:val="518E4ACC"/>
    <w:rsid w:val="53226CDE"/>
    <w:rsid w:val="58624507"/>
    <w:rsid w:val="586F061C"/>
    <w:rsid w:val="5A6279C1"/>
    <w:rsid w:val="5AFE1A2B"/>
    <w:rsid w:val="5B790677"/>
    <w:rsid w:val="6258733E"/>
    <w:rsid w:val="66605831"/>
    <w:rsid w:val="6E414F4D"/>
    <w:rsid w:val="6F5953DE"/>
    <w:rsid w:val="6FE23689"/>
    <w:rsid w:val="71973F9C"/>
    <w:rsid w:val="72291516"/>
    <w:rsid w:val="76AF2B09"/>
    <w:rsid w:val="76BD3C38"/>
    <w:rsid w:val="77966E5F"/>
    <w:rsid w:val="77D01FB6"/>
    <w:rsid w:val="782D7408"/>
    <w:rsid w:val="7C5D0F6B"/>
    <w:rsid w:val="7E7556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autoRedefine/>
    <w:qFormat/>
    <w:uiPriority w:val="99"/>
    <w:pPr>
      <w:jc w:val="left"/>
    </w:pPr>
    <w:rPr>
      <w:rFonts w:ascii="Calibri" w:hAnsi="Calibri"/>
      <w:kern w:val="0"/>
      <w:sz w:val="22"/>
      <w:szCs w:val="22"/>
      <w:lang w:eastAsia="en-US"/>
    </w:rPr>
  </w:style>
  <w:style w:type="character" w:customStyle="1" w:styleId="8">
    <w:name w:val="页眉 Char"/>
    <w:basedOn w:val="6"/>
    <w:link w:val="3"/>
    <w:autoRedefine/>
    <w:qFormat/>
    <w:uiPriority w:val="0"/>
    <w:rPr>
      <w:rFonts w:ascii="Times New Roman" w:hAnsi="Times New Roman" w:eastAsia="宋体" w:cs="Times New Roman"/>
      <w:kern w:val="2"/>
      <w:sz w:val="18"/>
      <w:szCs w:val="18"/>
    </w:rPr>
  </w:style>
  <w:style w:type="character" w:customStyle="1" w:styleId="9">
    <w:name w:val="页脚 Char"/>
    <w:basedOn w:val="6"/>
    <w:link w:val="2"/>
    <w:autoRedefine/>
    <w:qFormat/>
    <w:uiPriority w:val="0"/>
    <w:rPr>
      <w:rFonts w:ascii="Times New Roman" w:hAnsi="Times New Roman" w:eastAsia="宋体" w:cs="Times New Roman"/>
      <w:kern w:val="2"/>
      <w:sz w:val="18"/>
      <w:szCs w:val="18"/>
    </w:rPr>
  </w:style>
  <w:style w:type="paragraph" w:customStyle="1" w:styleId="10">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font11"/>
    <w:basedOn w:val="6"/>
    <w:autoRedefine/>
    <w:qFormat/>
    <w:uiPriority w:val="0"/>
    <w:rPr>
      <w:rFonts w:hint="eastAsia" w:ascii="仿宋" w:hAnsi="仿宋" w:eastAsia="仿宋" w:cs="仿宋"/>
      <w:color w:val="000000"/>
      <w:sz w:val="22"/>
      <w:szCs w:val="22"/>
      <w:u w:val="none"/>
    </w:rPr>
  </w:style>
  <w:style w:type="character" w:customStyle="1" w:styleId="12">
    <w:name w:val="font21"/>
    <w:basedOn w:val="6"/>
    <w:autoRedefine/>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471</Words>
  <Characters>598</Characters>
  <Lines>7</Lines>
  <Paragraphs>1</Paragraphs>
  <TotalTime>0</TotalTime>
  <ScaleCrop>false</ScaleCrop>
  <LinksUpToDate>false</LinksUpToDate>
  <CharactersWithSpaces>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2021-04-21T03:32:00Z</dcterms:created>
  <dc:creator>榯柒</dc:creator>
  <cp:lastModifiedBy>徐雪春</cp:lastModifiedBy>
  <dcterms:modified xsi:type="dcterms:W3CDTF">2026-05-27T03:32:39Z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876BF73C1D8C468A8E7B3D7D0EFA3F7F_12</vt:lpwstr>
  </property>
  <property fmtid="{D5CDD505-2E9C-101B-9397-08002B2CF9AE}" pid="4" name="KSOTemplateDocerSaveRecord">
    <vt:lpwstr>eyJoZGlkIjoiNzE5MzY0NmFjYTk3NjYzMjdmMDcxNjQ3ZDJmMTNkYjkiLCJ1c2VySWQiOiIxNTU1ODU1MzIzIn0=</vt:lpwstr>
  </property>
</Properties>
</file>