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84A05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江西财经大学本科生转专业确认表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410"/>
        <w:gridCol w:w="1562"/>
        <w:gridCol w:w="1788"/>
        <w:gridCol w:w="478"/>
        <w:gridCol w:w="811"/>
        <w:gridCol w:w="1299"/>
      </w:tblGrid>
      <w:tr w14:paraId="6721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93" w:type="pct"/>
            <w:vAlign w:val="center"/>
          </w:tcPr>
          <w:p w14:paraId="3EAF70A4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姓名</w:t>
            </w:r>
          </w:p>
        </w:tc>
        <w:tc>
          <w:tcPr>
            <w:tcW w:w="788" w:type="pct"/>
            <w:vAlign w:val="center"/>
          </w:tcPr>
          <w:p w14:paraId="08A3E4E5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</w:p>
        </w:tc>
        <w:tc>
          <w:tcPr>
            <w:tcW w:w="873" w:type="pct"/>
            <w:vAlign w:val="center"/>
          </w:tcPr>
          <w:p w14:paraId="7C585E9D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一卡通号</w:t>
            </w:r>
          </w:p>
        </w:tc>
        <w:tc>
          <w:tcPr>
            <w:tcW w:w="999" w:type="pct"/>
            <w:vAlign w:val="center"/>
          </w:tcPr>
          <w:p w14:paraId="425ED0CC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497A0D0B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性别</w:t>
            </w:r>
          </w:p>
        </w:tc>
        <w:tc>
          <w:tcPr>
            <w:tcW w:w="726" w:type="pct"/>
            <w:vAlign w:val="center"/>
          </w:tcPr>
          <w:p w14:paraId="49D7D306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</w:p>
        </w:tc>
      </w:tr>
      <w:tr w14:paraId="285C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 w14:paraId="2914B609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原学院</w:t>
            </w:r>
          </w:p>
        </w:tc>
        <w:tc>
          <w:tcPr>
            <w:tcW w:w="1661" w:type="pct"/>
            <w:gridSpan w:val="2"/>
            <w:vAlign w:val="center"/>
          </w:tcPr>
          <w:p w14:paraId="0C4742A2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</w:p>
        </w:tc>
        <w:tc>
          <w:tcPr>
            <w:tcW w:w="999" w:type="pct"/>
            <w:vAlign w:val="center"/>
          </w:tcPr>
          <w:p w14:paraId="1BF30A96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转入学院</w:t>
            </w:r>
          </w:p>
        </w:tc>
        <w:tc>
          <w:tcPr>
            <w:tcW w:w="1446" w:type="pct"/>
            <w:gridSpan w:val="3"/>
            <w:vAlign w:val="center"/>
          </w:tcPr>
          <w:p w14:paraId="45EE392D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</w:p>
        </w:tc>
      </w:tr>
      <w:tr w14:paraId="1DA3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 w14:paraId="7B3224CC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原专业</w:t>
            </w:r>
          </w:p>
        </w:tc>
        <w:tc>
          <w:tcPr>
            <w:tcW w:w="1661" w:type="pct"/>
            <w:gridSpan w:val="2"/>
            <w:vAlign w:val="center"/>
          </w:tcPr>
          <w:p w14:paraId="79E1D7C6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D9D9D9" w:themeColor="background1" w:themeShade="D9"/>
                <w:szCs w:val="22"/>
              </w:rPr>
              <w:t>请按“2023年招生专业名称设置”填写专业全称</w:t>
            </w:r>
          </w:p>
        </w:tc>
        <w:tc>
          <w:tcPr>
            <w:tcW w:w="999" w:type="pct"/>
            <w:vAlign w:val="center"/>
          </w:tcPr>
          <w:p w14:paraId="64C8F55D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转入专业</w:t>
            </w:r>
          </w:p>
        </w:tc>
        <w:tc>
          <w:tcPr>
            <w:tcW w:w="1446" w:type="pct"/>
            <w:gridSpan w:val="3"/>
            <w:vAlign w:val="center"/>
          </w:tcPr>
          <w:p w14:paraId="1DAD4767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D9D9D9" w:themeColor="background1" w:themeShade="D9"/>
                <w:szCs w:val="22"/>
              </w:rPr>
              <w:t>请按“2023年招生专业名称设置”填写专业全称</w:t>
            </w:r>
          </w:p>
        </w:tc>
      </w:tr>
      <w:tr w14:paraId="4E25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Merge w:val="restart"/>
            <w:vAlign w:val="center"/>
          </w:tcPr>
          <w:p w14:paraId="38BA2E27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综合成绩</w:t>
            </w:r>
          </w:p>
        </w:tc>
        <w:tc>
          <w:tcPr>
            <w:tcW w:w="1661" w:type="pct"/>
            <w:gridSpan w:val="2"/>
            <w:vMerge w:val="restart"/>
            <w:vAlign w:val="center"/>
          </w:tcPr>
          <w:p w14:paraId="1DD36BDB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综合成绩=微积分/大学语文+英语</w:t>
            </w:r>
          </w:p>
        </w:tc>
        <w:tc>
          <w:tcPr>
            <w:tcW w:w="1266" w:type="pct"/>
            <w:gridSpan w:val="2"/>
            <w:vAlign w:val="center"/>
          </w:tcPr>
          <w:p w14:paraId="7BB5D4FD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微积分/大学语文</w:t>
            </w:r>
          </w:p>
        </w:tc>
        <w:tc>
          <w:tcPr>
            <w:tcW w:w="1179" w:type="pct"/>
            <w:gridSpan w:val="2"/>
            <w:vAlign w:val="center"/>
          </w:tcPr>
          <w:p w14:paraId="0C4A0B8A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</w:p>
        </w:tc>
      </w:tr>
      <w:tr w14:paraId="1A4C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Merge w:val="continue"/>
            <w:vAlign w:val="center"/>
          </w:tcPr>
          <w:p w14:paraId="68D78164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661" w:type="pct"/>
            <w:gridSpan w:val="2"/>
            <w:vMerge w:val="continue"/>
            <w:vAlign w:val="center"/>
          </w:tcPr>
          <w:p w14:paraId="6E502D85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266" w:type="pct"/>
            <w:gridSpan w:val="2"/>
            <w:vAlign w:val="center"/>
          </w:tcPr>
          <w:p w14:paraId="44175B7B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英语</w:t>
            </w:r>
          </w:p>
        </w:tc>
        <w:tc>
          <w:tcPr>
            <w:tcW w:w="1179" w:type="pct"/>
            <w:gridSpan w:val="2"/>
            <w:vAlign w:val="center"/>
          </w:tcPr>
          <w:p w14:paraId="1F64AD07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</w:p>
        </w:tc>
      </w:tr>
      <w:tr w14:paraId="34A1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3" w:type="pct"/>
            <w:vMerge w:val="continue"/>
            <w:vAlign w:val="center"/>
          </w:tcPr>
          <w:p w14:paraId="593BEF49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661" w:type="pct"/>
            <w:gridSpan w:val="2"/>
            <w:vAlign w:val="center"/>
          </w:tcPr>
          <w:p w14:paraId="08F4E9F8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总分</w:t>
            </w:r>
          </w:p>
        </w:tc>
        <w:tc>
          <w:tcPr>
            <w:tcW w:w="2445" w:type="pct"/>
            <w:gridSpan w:val="4"/>
            <w:vAlign w:val="center"/>
          </w:tcPr>
          <w:p w14:paraId="7B948036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</w:p>
        </w:tc>
      </w:tr>
      <w:tr w14:paraId="6D01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3" w:type="pct"/>
            <w:vMerge w:val="continue"/>
            <w:vAlign w:val="center"/>
          </w:tcPr>
          <w:p w14:paraId="0718F679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1661" w:type="pct"/>
            <w:gridSpan w:val="2"/>
            <w:vAlign w:val="center"/>
          </w:tcPr>
          <w:p w14:paraId="6750DD18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排名</w:t>
            </w:r>
          </w:p>
        </w:tc>
        <w:tc>
          <w:tcPr>
            <w:tcW w:w="2445" w:type="pct"/>
            <w:gridSpan w:val="4"/>
            <w:vAlign w:val="center"/>
          </w:tcPr>
          <w:p w14:paraId="6723BB86">
            <w:pPr>
              <w:jc w:val="center"/>
              <w:rPr>
                <w:rFonts w:hint="eastAsia" w:ascii="仿宋" w:hAnsi="仿宋" w:eastAsia="仿宋"/>
                <w:sz w:val="24"/>
                <w:szCs w:val="22"/>
              </w:rPr>
            </w:pPr>
          </w:p>
        </w:tc>
      </w:tr>
      <w:tr w14:paraId="7B09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93" w:type="pct"/>
            <w:vAlign w:val="center"/>
          </w:tcPr>
          <w:p w14:paraId="2CA75D6D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重要提示</w:t>
            </w:r>
          </w:p>
        </w:tc>
        <w:tc>
          <w:tcPr>
            <w:tcW w:w="4106" w:type="pct"/>
            <w:gridSpan w:val="6"/>
          </w:tcPr>
          <w:p w14:paraId="31A1206B">
            <w:pPr>
              <w:ind w:firstLine="482" w:firstLineChars="200"/>
              <w:rPr>
                <w:rFonts w:ascii="仿宋" w:hAnsi="仿宋" w:eastAsia="仿宋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</w:rPr>
              <w:t>学生转入新专业后，需尽快完成原专业大一已修读课程与新专业大一应修课程的认定，规则见《江西财经大学本科课程认定及学分转换管理办法（试行）》，对于新专业中无法认定的课程需在后续学习期间补修，否则无法通过毕业资格审核。</w:t>
            </w:r>
          </w:p>
          <w:p w14:paraId="505BDBF5"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</w:rPr>
              <w:t>转专业学生如后期推免（保送），须严格修完新专业前六学期的同名必修课，不得用已修的原专业非同名课程、MOOC等毕业资格审核认定条件作为推免（保送）条件。</w:t>
            </w:r>
          </w:p>
          <w:p w14:paraId="228BE793">
            <w:pPr>
              <w:ind w:firstLine="480" w:firstLineChars="200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18"/>
              </w:rPr>
              <w:t xml:space="preserve">学生签名：                            年  </w:t>
            </w:r>
            <w:r>
              <w:rPr>
                <w:rFonts w:ascii="仿宋" w:hAnsi="仿宋" w:eastAsia="仿宋"/>
                <w:color w:val="333333"/>
                <w:sz w:val="24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color w:val="333333"/>
                <w:sz w:val="24"/>
                <w:szCs w:val="18"/>
              </w:rPr>
              <w:t xml:space="preserve">月 </w:t>
            </w:r>
            <w:r>
              <w:rPr>
                <w:rFonts w:ascii="仿宋" w:hAnsi="仿宋" w:eastAsia="仿宋"/>
                <w:color w:val="333333"/>
                <w:sz w:val="24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  <w:sz w:val="24"/>
                <w:szCs w:val="18"/>
              </w:rPr>
              <w:t xml:space="preserve"> 日</w:t>
            </w:r>
          </w:p>
        </w:tc>
      </w:tr>
      <w:tr w14:paraId="0892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93" w:type="pct"/>
            <w:vAlign w:val="center"/>
          </w:tcPr>
          <w:p w14:paraId="688B9999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学生确认</w:t>
            </w:r>
          </w:p>
        </w:tc>
        <w:tc>
          <w:tcPr>
            <w:tcW w:w="4106" w:type="pct"/>
            <w:gridSpan w:val="6"/>
          </w:tcPr>
          <w:p w14:paraId="1F602F79">
            <w:pPr>
              <w:ind w:firstLine="480" w:firstLineChars="200"/>
              <w:rPr>
                <w:rFonts w:hint="eastAsia" w:ascii="仿宋" w:hAnsi="仿宋" w:eastAsia="仿宋"/>
                <w:color w:val="333333"/>
                <w:sz w:val="24"/>
                <w:szCs w:val="18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18"/>
              </w:rPr>
              <w:t>本人确定此次转专业工作是在“公开、公正、公平”的原则下进行的，并同意转入专业进行学习。本人转入后，会按照新专业人才培养方案修读完所有课程。</w:t>
            </w:r>
          </w:p>
          <w:p w14:paraId="7E2B9501">
            <w:pPr>
              <w:ind w:firstLine="480" w:firstLineChars="200"/>
              <w:rPr>
                <w:rFonts w:hint="eastAsia" w:ascii="仿宋" w:hAnsi="仿宋" w:eastAsia="仿宋"/>
                <w:color w:val="333333"/>
                <w:sz w:val="24"/>
                <w:szCs w:val="18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18"/>
              </w:rPr>
              <w:t xml:space="preserve">学生签名：                            年  </w:t>
            </w:r>
            <w:r>
              <w:rPr>
                <w:rFonts w:ascii="仿宋" w:hAnsi="仿宋" w:eastAsia="仿宋"/>
                <w:color w:val="333333"/>
                <w:sz w:val="24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color w:val="333333"/>
                <w:sz w:val="24"/>
                <w:szCs w:val="18"/>
              </w:rPr>
              <w:t xml:space="preserve">月 </w:t>
            </w:r>
            <w:r>
              <w:rPr>
                <w:rFonts w:ascii="仿宋" w:hAnsi="仿宋" w:eastAsia="仿宋"/>
                <w:color w:val="333333"/>
                <w:sz w:val="24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  <w:sz w:val="24"/>
                <w:szCs w:val="18"/>
              </w:rPr>
              <w:t xml:space="preserve"> 日</w:t>
            </w:r>
          </w:p>
        </w:tc>
      </w:tr>
      <w:tr w14:paraId="7558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93" w:type="pct"/>
            <w:vAlign w:val="center"/>
          </w:tcPr>
          <w:p w14:paraId="000EF300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转出学院</w:t>
            </w:r>
          </w:p>
          <w:p w14:paraId="53F94DCF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意见</w:t>
            </w:r>
          </w:p>
        </w:tc>
        <w:tc>
          <w:tcPr>
            <w:tcW w:w="4106" w:type="pct"/>
            <w:gridSpan w:val="6"/>
            <w:vAlign w:val="bottom"/>
          </w:tcPr>
          <w:p w14:paraId="29E83FEC">
            <w:pPr>
              <w:ind w:firstLine="480" w:firstLineChars="200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学院审核：                       公章：  </w:t>
            </w:r>
            <w:r>
              <w:rPr>
                <w:rFonts w:ascii="仿宋" w:hAnsi="仿宋" w:eastAsia="仿宋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2"/>
              </w:rPr>
              <w:t xml:space="preserve"> 年  </w:t>
            </w:r>
            <w:r>
              <w:rPr>
                <w:rFonts w:ascii="仿宋" w:hAnsi="仿宋" w:eastAsia="仿宋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2"/>
              </w:rPr>
              <w:t xml:space="preserve"> 月 </w:t>
            </w:r>
            <w:r>
              <w:rPr>
                <w:rFonts w:ascii="仿宋" w:hAnsi="仿宋" w:eastAsia="仿宋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2"/>
              </w:rPr>
              <w:t xml:space="preserve"> 日</w:t>
            </w:r>
          </w:p>
        </w:tc>
      </w:tr>
      <w:tr w14:paraId="2A0B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93" w:type="pct"/>
            <w:vAlign w:val="center"/>
          </w:tcPr>
          <w:p w14:paraId="07509B73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转入学院</w:t>
            </w:r>
          </w:p>
          <w:p w14:paraId="1F1E09C1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意见</w:t>
            </w:r>
          </w:p>
        </w:tc>
        <w:tc>
          <w:tcPr>
            <w:tcW w:w="4106" w:type="pct"/>
            <w:gridSpan w:val="6"/>
            <w:vAlign w:val="bottom"/>
          </w:tcPr>
          <w:p w14:paraId="34B7F08B">
            <w:pPr>
              <w:ind w:firstLine="480" w:firstLineChars="200"/>
              <w:rPr>
                <w:rFonts w:hint="eastAsia" w:ascii="仿宋" w:hAnsi="仿宋" w:eastAsia="仿宋"/>
                <w:color w:val="333333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学院审核：                        公章：   年  </w:t>
            </w:r>
            <w:r>
              <w:rPr>
                <w:rFonts w:ascii="仿宋" w:hAnsi="仿宋" w:eastAsia="仿宋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2"/>
              </w:rPr>
              <w:t xml:space="preserve"> 月 </w:t>
            </w:r>
            <w:r>
              <w:rPr>
                <w:rFonts w:ascii="仿宋" w:hAnsi="仿宋" w:eastAsia="仿宋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2"/>
              </w:rPr>
              <w:t xml:space="preserve"> 日</w:t>
            </w:r>
          </w:p>
        </w:tc>
      </w:tr>
      <w:tr w14:paraId="0E16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93" w:type="pct"/>
            <w:vAlign w:val="center"/>
          </w:tcPr>
          <w:p w14:paraId="01BA5189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教务处</w:t>
            </w:r>
          </w:p>
          <w:p w14:paraId="10FC94D7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审核</w:t>
            </w:r>
          </w:p>
        </w:tc>
        <w:tc>
          <w:tcPr>
            <w:tcW w:w="4106" w:type="pct"/>
            <w:gridSpan w:val="6"/>
          </w:tcPr>
          <w:p w14:paraId="737351C9">
            <w:pPr>
              <w:ind w:firstLine="480" w:firstLineChars="200"/>
              <w:rPr>
                <w:rFonts w:hint="eastAsia" w:ascii="仿宋" w:hAnsi="仿宋" w:eastAsia="仿宋"/>
                <w:bCs/>
                <w:sz w:val="24"/>
                <w:szCs w:val="22"/>
              </w:rPr>
            </w:pPr>
            <w:r>
              <w:rPr>
                <w:rFonts w:ascii="仿宋" w:hAnsi="仿宋" w:eastAsia="仿宋"/>
                <w:bCs/>
                <w:color w:val="333333"/>
                <w:sz w:val="24"/>
                <w:szCs w:val="18"/>
              </w:rPr>
              <w:t>依据《</w:t>
            </w:r>
            <w:r>
              <w:rPr>
                <w:rFonts w:hint="eastAsia" w:ascii="仿宋" w:hAnsi="仿宋" w:eastAsia="仿宋"/>
                <w:bCs/>
                <w:color w:val="333333"/>
                <w:sz w:val="24"/>
                <w:szCs w:val="18"/>
              </w:rPr>
              <w:t>江西财经大学全日制普通本科生转专业实施办法（试行）》的文件精神</w:t>
            </w:r>
            <w:r>
              <w:rPr>
                <w:rFonts w:ascii="仿宋" w:hAnsi="仿宋" w:eastAsia="仿宋"/>
                <w:bCs/>
                <w:color w:val="333333"/>
                <w:sz w:val="24"/>
                <w:szCs w:val="18"/>
              </w:rPr>
              <w:t>，根据</w:t>
            </w:r>
            <w:r>
              <w:rPr>
                <w:rFonts w:hint="eastAsia" w:ascii="仿宋" w:hAnsi="仿宋" w:eastAsia="仿宋"/>
                <w:bCs/>
                <w:color w:val="333333"/>
                <w:sz w:val="24"/>
                <w:szCs w:val="18"/>
              </w:rPr>
              <w:t>学生</w:t>
            </w:r>
            <w:r>
              <w:rPr>
                <w:rFonts w:ascii="仿宋" w:hAnsi="仿宋" w:eastAsia="仿宋"/>
                <w:bCs/>
                <w:color w:val="333333"/>
                <w:sz w:val="24"/>
                <w:szCs w:val="18"/>
              </w:rPr>
              <w:t>志愿填报和综合成绩排名情况，并经学</w:t>
            </w:r>
            <w:r>
              <w:rPr>
                <w:rFonts w:hint="eastAsia" w:ascii="仿宋" w:hAnsi="仿宋" w:eastAsia="仿宋"/>
                <w:bCs/>
                <w:color w:val="333333"/>
                <w:sz w:val="24"/>
                <w:szCs w:val="18"/>
              </w:rPr>
              <w:t>校</w:t>
            </w:r>
            <w:r>
              <w:rPr>
                <w:rFonts w:ascii="仿宋" w:hAnsi="仿宋" w:eastAsia="仿宋"/>
                <w:bCs/>
                <w:color w:val="333333"/>
                <w:sz w:val="24"/>
                <w:szCs w:val="18"/>
              </w:rPr>
              <w:t>认真评议和审核</w:t>
            </w:r>
            <w:r>
              <w:rPr>
                <w:rFonts w:hint="eastAsia" w:ascii="仿宋" w:hAnsi="仿宋" w:eastAsia="仿宋"/>
                <w:bCs/>
                <w:color w:val="333333"/>
                <w:sz w:val="24"/>
                <w:szCs w:val="18"/>
              </w:rPr>
              <w:t>，同意该学生转入新专业进行学习。</w:t>
            </w:r>
          </w:p>
          <w:p w14:paraId="09EE2E6A">
            <w:pPr>
              <w:ind w:firstLine="480" w:firstLineChars="200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2"/>
              </w:rPr>
              <w:t xml:space="preserve">教务处审核：                   公章：   </w:t>
            </w:r>
            <w:r>
              <w:rPr>
                <w:rFonts w:ascii="仿宋" w:hAnsi="仿宋" w:eastAsia="仿宋"/>
                <w:bCs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22"/>
              </w:rPr>
              <w:t xml:space="preserve"> 年 </w:t>
            </w:r>
            <w:r>
              <w:rPr>
                <w:rFonts w:ascii="仿宋" w:hAnsi="仿宋" w:eastAsia="仿宋"/>
                <w:bCs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22"/>
              </w:rPr>
              <w:t xml:space="preserve">  月 </w:t>
            </w:r>
            <w:r>
              <w:rPr>
                <w:rFonts w:ascii="仿宋" w:hAnsi="仿宋" w:eastAsia="仿宋"/>
                <w:bCs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22"/>
              </w:rPr>
              <w:t xml:space="preserve">  日</w:t>
            </w:r>
          </w:p>
        </w:tc>
      </w:tr>
      <w:tr w14:paraId="66F0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93" w:type="pct"/>
            <w:vAlign w:val="center"/>
          </w:tcPr>
          <w:p w14:paraId="348F6AD7">
            <w:pPr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学工处登记学籍变动</w:t>
            </w:r>
          </w:p>
        </w:tc>
        <w:tc>
          <w:tcPr>
            <w:tcW w:w="4106" w:type="pct"/>
            <w:gridSpan w:val="6"/>
            <w:vAlign w:val="bottom"/>
          </w:tcPr>
          <w:p w14:paraId="6E6622DA">
            <w:pPr>
              <w:ind w:firstLine="480" w:firstLineChars="200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登记人：                             年    月    日</w:t>
            </w:r>
          </w:p>
        </w:tc>
      </w:tr>
    </w:tbl>
    <w:p w14:paraId="6C3B23BD">
      <w:r>
        <w:rPr>
          <w:rFonts w:hint="eastAsia" w:ascii="仿宋" w:hAnsi="仿宋" w:eastAsia="仿宋"/>
          <w:szCs w:val="22"/>
        </w:rPr>
        <w:t>填表说明：1、此表进入学生个人档案，作为学籍异动的依据；2、本表由本人现在所在学院统一交教务处教学运行科；3、专业要按照“2024年招生专业名称设置” 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474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13DEA"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5FACE1B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41BB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27F1C39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E80F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WJkNGY0YzQ4NDk0NmFiZTg3ZTc0YjhjNWM1NzgifQ=="/>
  </w:docVars>
  <w:rsids>
    <w:rsidRoot w:val="160C2BE8"/>
    <w:rsid w:val="002E7E78"/>
    <w:rsid w:val="00304E07"/>
    <w:rsid w:val="00377E57"/>
    <w:rsid w:val="007C425B"/>
    <w:rsid w:val="00801332"/>
    <w:rsid w:val="00927D44"/>
    <w:rsid w:val="0094068F"/>
    <w:rsid w:val="00B3723F"/>
    <w:rsid w:val="00CA1A63"/>
    <w:rsid w:val="00CA4C86"/>
    <w:rsid w:val="04D16187"/>
    <w:rsid w:val="1271384F"/>
    <w:rsid w:val="160C2BE8"/>
    <w:rsid w:val="181C67DD"/>
    <w:rsid w:val="209C5AFD"/>
    <w:rsid w:val="344F1D03"/>
    <w:rsid w:val="41632144"/>
    <w:rsid w:val="51D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620</Characters>
  <Lines>6</Lines>
  <Paragraphs>1</Paragraphs>
  <TotalTime>21</TotalTime>
  <ScaleCrop>false</ScaleCrop>
  <LinksUpToDate>false</LinksUpToDate>
  <CharactersWithSpaces>836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2023-02-28T02:50:00Z</dcterms:created>
  <dc:creator>Jessie</dc:creator>
  <cp:lastModifiedBy>邹玉莹</cp:lastModifiedBy>
  <dcterms:modified xsi:type="dcterms:W3CDTF">2026-04-21T07:56:14Z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F53DA8C303E14C5F8B1F7C9DC89C0555</vt:lpwstr>
  </property>
  <property fmtid="{D5CDD505-2E9C-101B-9397-08002B2CF9AE}" pid="4" name="KSOTemplateDocerSaveRecord">
    <vt:lpwstr>eyJoZGlkIjoiMWQzN2U5MjU1YTI2YmM0OTE4YWE4Nzg0OTJkNTg2MzUiLCJ1c2VySWQiOiIxNTU3NzkyNDM5In0=</vt:lpwstr>
  </property>
</Properties>
</file>