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i w:val="0"/>
          <w:iCs w:val="0"/>
          <w:sz w:val="36"/>
          <w:szCs w:val="44"/>
          <w:lang w:val="en-US" w:eastAsia="zh-CN"/>
        </w:rPr>
      </w:pPr>
      <w:r>
        <w:rPr>
          <w:rFonts w:hint="eastAsia"/>
          <w:b/>
          <w:bCs/>
          <w:i w:val="0"/>
          <w:iCs w:val="0"/>
          <w:sz w:val="36"/>
          <w:szCs w:val="44"/>
          <w:lang w:val="en-US" w:eastAsia="zh-CN"/>
        </w:rPr>
        <w:t>学分冲抵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（1）登录教务管理系统后，点击“学生成绩”按钮，进入学生成绩页面。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2693670"/>
            <wp:effectExtent l="0" t="0" r="1206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（2）在学生成绩页面中，点击“申请课程/环节成绩替代”按钮，进入学分冲抵页面。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105150"/>
            <wp:effectExtent l="0" t="0" r="635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在左右两边分别填写查询条件后，点击“搜索”按钮查询出冲抵前后相应课程。选中相应课程后点击下拉按钮形成一条学分申请记录。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2617470"/>
            <wp:effectExtent l="0" t="0" r="1206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4）学生可以在审核记录上看到审核状态，审核流程是先由课程承担单位审核，再由教务处审核，教务处审核通过后即学分冲抵成功。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9230" cy="2613025"/>
            <wp:effectExtent l="0" t="0" r="7620" b="1587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7F79A6"/>
    <w:multiLevelType w:val="singleLevel"/>
    <w:tmpl w:val="A37F79A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</dc:creator>
  <cp:lastModifiedBy>fight.cc</cp:lastModifiedBy>
  <dcterms:modified xsi:type="dcterms:W3CDTF">2020-05-08T06:57:02Z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